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潜污泵</w:t>
      </w:r>
      <w:r>
        <w:rPr>
          <w:rFonts w:hint="eastAsia" w:ascii="Times New Roman" w:hAnsi="Times New Roman" w:eastAsia="长城小标宋体"/>
          <w:b/>
          <w:bCs/>
          <w:sz w:val="44"/>
          <w:szCs w:val="44"/>
        </w:rPr>
        <w:t>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1803BDB1">
      <w:pPr>
        <w:pStyle w:val="9"/>
      </w:pPr>
    </w:p>
    <w:p w14:paraId="18768F76">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76A6E39">
      <w:pPr>
        <w:spacing w:after="78"/>
      </w:pPr>
    </w:p>
    <w:p w14:paraId="691337B4">
      <w:pPr>
        <w:pStyle w:val="42"/>
        <w:spacing w:after="78" w:line="640" w:lineRule="exact"/>
        <w:ind w:firstLine="640"/>
        <w:rPr>
          <w:rFonts w:eastAsia="黑体"/>
          <w:sz w:val="32"/>
          <w:szCs w:val="32"/>
        </w:rPr>
      </w:pPr>
      <w:r>
        <w:rPr>
          <w:rFonts w:hint="eastAsia" w:eastAsia="黑体"/>
          <w:sz w:val="32"/>
          <w:szCs w:val="32"/>
        </w:rPr>
        <w:t>一、供货内容</w:t>
      </w:r>
    </w:p>
    <w:p w14:paraId="214CDAA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潜污泵</w:t>
      </w:r>
      <w:r>
        <w:rPr>
          <w:rFonts w:hint="eastAsia" w:ascii="Times New Roman" w:hAnsi="Times New Roman" w:eastAsia="仿宋_GB2312"/>
          <w:bCs/>
          <w:color w:val="000000"/>
          <w:sz w:val="32"/>
          <w:szCs w:val="32"/>
        </w:rPr>
        <w:t>采购项目。</w:t>
      </w:r>
    </w:p>
    <w:p w14:paraId="1C6DA9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W w:w="5000" w:type="pct"/>
        <w:tblInd w:w="0" w:type="dxa"/>
        <w:tblLayout w:type="fixed"/>
        <w:tblCellMar>
          <w:top w:w="0" w:type="dxa"/>
          <w:left w:w="108" w:type="dxa"/>
          <w:bottom w:w="0" w:type="dxa"/>
          <w:right w:w="108" w:type="dxa"/>
        </w:tblCellMar>
      </w:tblPr>
      <w:tblGrid>
        <w:gridCol w:w="817"/>
        <w:gridCol w:w="1324"/>
        <w:gridCol w:w="2916"/>
        <w:gridCol w:w="804"/>
        <w:gridCol w:w="1132"/>
        <w:gridCol w:w="1529"/>
      </w:tblGrid>
      <w:tr w14:paraId="5A92E28C">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33558190">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776" w:type="pct"/>
            <w:tcBorders>
              <w:top w:val="single" w:color="auto" w:sz="4" w:space="0"/>
              <w:left w:val="nil"/>
              <w:bottom w:val="single" w:color="auto" w:sz="4" w:space="0"/>
              <w:right w:val="single" w:color="auto" w:sz="4" w:space="0"/>
            </w:tcBorders>
            <w:noWrap w:val="0"/>
            <w:vAlign w:val="center"/>
          </w:tcPr>
          <w:p w14:paraId="1E2B8472">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710" w:type="pct"/>
            <w:tcBorders>
              <w:top w:val="single" w:color="auto" w:sz="4" w:space="0"/>
              <w:left w:val="nil"/>
              <w:bottom w:val="single" w:color="auto" w:sz="4" w:space="0"/>
              <w:right w:val="single" w:color="auto" w:sz="4" w:space="0"/>
            </w:tcBorders>
            <w:noWrap w:val="0"/>
            <w:vAlign w:val="center"/>
          </w:tcPr>
          <w:p w14:paraId="2C090545">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规格</w:t>
            </w:r>
          </w:p>
        </w:tc>
        <w:tc>
          <w:tcPr>
            <w:tcW w:w="471" w:type="pct"/>
            <w:tcBorders>
              <w:top w:val="single" w:color="auto" w:sz="4" w:space="0"/>
              <w:left w:val="nil"/>
              <w:bottom w:val="single" w:color="auto" w:sz="4" w:space="0"/>
              <w:right w:val="single" w:color="auto" w:sz="4" w:space="0"/>
            </w:tcBorders>
            <w:noWrap w:val="0"/>
            <w:vAlign w:val="center"/>
          </w:tcPr>
          <w:p w14:paraId="306A5CBC">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材质</w:t>
            </w:r>
          </w:p>
        </w:tc>
        <w:tc>
          <w:tcPr>
            <w:tcW w:w="664" w:type="pct"/>
            <w:tcBorders>
              <w:top w:val="single" w:color="auto" w:sz="4" w:space="0"/>
              <w:left w:val="nil"/>
              <w:bottom w:val="single" w:color="auto" w:sz="4" w:space="0"/>
              <w:right w:val="single" w:color="auto" w:sz="4" w:space="0"/>
            </w:tcBorders>
            <w:noWrap w:val="0"/>
            <w:vAlign w:val="center"/>
          </w:tcPr>
          <w:p w14:paraId="577FBE01">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rPr>
              <w:t>数量</w:t>
            </w:r>
          </w:p>
        </w:tc>
        <w:tc>
          <w:tcPr>
            <w:tcW w:w="897" w:type="pct"/>
            <w:tcBorders>
              <w:top w:val="single" w:color="auto" w:sz="4" w:space="0"/>
              <w:left w:val="nil"/>
              <w:bottom w:val="single" w:color="auto" w:sz="4" w:space="0"/>
              <w:right w:val="single" w:color="auto" w:sz="4" w:space="0"/>
            </w:tcBorders>
            <w:noWrap w:val="0"/>
            <w:vAlign w:val="center"/>
          </w:tcPr>
          <w:p w14:paraId="7AC6B5BF">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送货地点</w:t>
            </w:r>
          </w:p>
        </w:tc>
      </w:tr>
      <w:tr w14:paraId="734F0D19">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051E576B">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776" w:type="pct"/>
            <w:tcBorders>
              <w:top w:val="single" w:color="auto" w:sz="4" w:space="0"/>
              <w:left w:val="single" w:color="auto" w:sz="4" w:space="0"/>
              <w:bottom w:val="single" w:color="auto" w:sz="4" w:space="0"/>
              <w:right w:val="single" w:color="auto" w:sz="4" w:space="0"/>
            </w:tcBorders>
            <w:noWrap w:val="0"/>
            <w:vAlign w:val="center"/>
          </w:tcPr>
          <w:p w14:paraId="7F8E322A">
            <w:pPr>
              <w:pStyle w:val="42"/>
              <w:spacing w:after="78" w:line="640" w:lineRule="exact"/>
              <w:ind w:firstLine="0" w:firstLineChars="0"/>
              <w:jc w:val="center"/>
              <w:rPr>
                <w:rFonts w:hint="default" w:ascii="仿宋" w:hAnsi="仿宋" w:eastAsia="仿宋" w:cs="仿宋"/>
                <w:sz w:val="32"/>
                <w:szCs w:val="32"/>
                <w:lang w:val="en-US"/>
              </w:rPr>
            </w:pPr>
            <w:r>
              <w:rPr>
                <w:rFonts w:hint="eastAsia" w:ascii="Times New Roman" w:hAnsi="Times New Roman" w:eastAsia="仿宋_GB2312"/>
                <w:bCs/>
                <w:color w:val="000000"/>
                <w:sz w:val="32"/>
                <w:szCs w:val="32"/>
                <w:lang w:val="en-US" w:eastAsia="zh-CN"/>
              </w:rPr>
              <w:t>潜污泵</w:t>
            </w:r>
          </w:p>
        </w:tc>
        <w:tc>
          <w:tcPr>
            <w:tcW w:w="1710" w:type="pct"/>
            <w:tcBorders>
              <w:top w:val="single" w:color="auto" w:sz="4" w:space="0"/>
              <w:left w:val="single" w:color="auto" w:sz="4" w:space="0"/>
              <w:bottom w:val="single" w:color="auto" w:sz="4" w:space="0"/>
              <w:right w:val="single" w:color="auto" w:sz="4" w:space="0"/>
            </w:tcBorders>
            <w:noWrap w:val="0"/>
            <w:vAlign w:val="center"/>
          </w:tcPr>
          <w:p w14:paraId="5A9F5EB7">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_GB2312" w:hAnsi="仿宋_GB2312" w:eastAsia="仿宋_GB2312" w:cs="仿宋_GB2312"/>
                <w:sz w:val="32"/>
                <w:szCs w:val="32"/>
                <w:shd w:val="clear" w:color="auto" w:fill="FFFFFF"/>
                <w:lang w:val="en-US" w:eastAsia="zh-CN"/>
              </w:rPr>
              <w:t>Q=10m³/h,H=18m,N=2.2kw，不锈钢切割泵，四芯8m</w:t>
            </w:r>
            <w:r>
              <w:rPr>
                <w:rFonts w:hint="eastAsia" w:ascii="仿宋_GB2312" w:hAnsi="仿宋_GB2312" w:eastAsia="仿宋_GB2312" w:cs="仿宋_GB2312"/>
                <w:sz w:val="32"/>
                <w:szCs w:val="32"/>
                <w:shd w:val="clear" w:color="auto" w:fill="FFFFFF"/>
                <w:lang w:val="en-US" w:eastAsia="zh-CN"/>
              </w:rPr>
              <w:tab/>
            </w:r>
            <w:r>
              <w:rPr>
                <w:rFonts w:hint="eastAsia" w:ascii="仿宋_GB2312" w:hAnsi="仿宋_GB2312" w:eastAsia="仿宋_GB2312" w:cs="仿宋_GB2312"/>
                <w:sz w:val="32"/>
                <w:szCs w:val="32"/>
                <w:shd w:val="clear" w:color="auto" w:fill="FFFFFF"/>
                <w:lang w:val="en-US" w:eastAsia="zh-CN"/>
              </w:rPr>
              <w:t>电缆</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1D1310AC">
            <w:pPr>
              <w:pStyle w:val="42"/>
              <w:spacing w:after="78" w:line="640" w:lineRule="exact"/>
              <w:ind w:firstLine="0" w:firstLineChars="0"/>
              <w:jc w:val="center"/>
              <w:rPr>
                <w:rFonts w:hint="eastAsia" w:ascii="仿宋" w:hAnsi="仿宋" w:eastAsia="仿宋" w:cs="仿宋"/>
                <w:sz w:val="32"/>
                <w:szCs w:val="32"/>
                <w:lang w:val="en-US" w:eastAsia="zh-CN"/>
              </w:rPr>
            </w:pPr>
            <w:r>
              <w:rPr>
                <w:rFonts w:hint="eastAsia" w:ascii="Times New Roman" w:hAnsi="Times New Roman" w:eastAsia="仿宋_GB2312"/>
                <w:bCs/>
                <w:color w:val="000000"/>
                <w:sz w:val="32"/>
                <w:szCs w:val="32"/>
                <w:lang w:val="en-US" w:eastAsia="zh-CN"/>
              </w:rPr>
              <w:t>不锈钢</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0201E21D">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4台</w:t>
            </w:r>
          </w:p>
        </w:tc>
        <w:tc>
          <w:tcPr>
            <w:tcW w:w="897" w:type="pct"/>
            <w:tcBorders>
              <w:top w:val="single" w:color="auto" w:sz="4" w:space="0"/>
              <w:left w:val="single" w:color="auto" w:sz="4" w:space="0"/>
              <w:bottom w:val="single" w:color="auto" w:sz="4" w:space="0"/>
              <w:right w:val="single" w:color="auto" w:sz="4" w:space="0"/>
            </w:tcBorders>
            <w:noWrap w:val="0"/>
            <w:vAlign w:val="center"/>
          </w:tcPr>
          <w:p w14:paraId="77ABF6E6">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宁夏回族自治区银川市</w:t>
            </w:r>
          </w:p>
        </w:tc>
      </w:tr>
    </w:tbl>
    <w:p w14:paraId="193EFE9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供应商报价应包括但不限于设备的价格，二次设计费用(如有)，培训费(如有)，质保服务费，税费，资料费，</w:t>
      </w:r>
      <w:r>
        <w:rPr>
          <w:rFonts w:hint="eastAsia" w:ascii="Times New Roman" w:hAnsi="Times New Roman" w:eastAsia="仿宋_GB2312"/>
          <w:bCs/>
          <w:sz w:val="32"/>
          <w:szCs w:val="32"/>
        </w:rPr>
        <w:t>指导安装，配合调试</w:t>
      </w:r>
      <w:r>
        <w:rPr>
          <w:rFonts w:hint="eastAsia" w:ascii="Times New Roman" w:hAnsi="Times New Roman" w:eastAsia="仿宋_GB2312"/>
          <w:bCs/>
          <w:color w:val="000000"/>
          <w:sz w:val="32"/>
          <w:szCs w:val="32"/>
        </w:rPr>
        <w:t>以及为提供设备至买方指定交货地点而产生的商检费、包装费、装货费、运费、卸车费、保险费等全部费用。</w:t>
      </w:r>
    </w:p>
    <w:p w14:paraId="49C765F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w:t>
      </w:r>
      <w:r>
        <w:rPr>
          <w:rFonts w:hint="eastAsia" w:ascii="Times New Roman" w:hAnsi="Times New Roman" w:eastAsia="仿宋_GB2312"/>
          <w:bCs/>
          <w:color w:val="000000"/>
          <w:sz w:val="32"/>
          <w:szCs w:val="32"/>
        </w:rPr>
        <w:t>（含税报价总价不得超过限价要求，否则做无效报价）。</w:t>
      </w:r>
    </w:p>
    <w:p w14:paraId="1FABAA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（四）货期要求：30个日历日内。</w:t>
      </w:r>
    </w:p>
    <w:p w14:paraId="21C3614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（五）付款方式：合同签订后，甲方向乙方支付合同金额的30%作为预付款，合同货物到货并验收通过后，甲方支付至合同价总额95%验收款，质保期满后付清剩余5%款项。</w:t>
      </w:r>
    </w:p>
    <w:p w14:paraId="4CBE5DA5">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甲方每次支付款项前，乙方应按甲方要求开具合法有效的等额增值税发票。</w:t>
      </w:r>
      <w:r>
        <w:rPr>
          <w:rFonts w:hint="eastAsia" w:ascii="Times New Roman" w:hAnsi="Times New Roman" w:eastAsia="仿宋_GB2312"/>
          <w:bCs/>
          <w:color w:val="000000"/>
          <w:sz w:val="32"/>
          <w:szCs w:val="32"/>
        </w:rPr>
        <w:t>设备费开具13%的增值税专用发票。</w:t>
      </w:r>
    </w:p>
    <w:p w14:paraId="41DCD3A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（六）质保期：质保期一年，以项目验收起之日计。</w:t>
      </w:r>
    </w:p>
    <w:p w14:paraId="44AE8D28">
      <w:pPr>
        <w:widowControl/>
        <w:spacing w:after="78" w:line="640" w:lineRule="exact"/>
        <w:ind w:firstLine="640" w:firstLineChars="200"/>
        <w:jc w:val="left"/>
        <w:rPr>
          <w:rFonts w:ascii="Times New Roman" w:hAnsi="Times New Roman" w:eastAsia="仿宋_GB2312"/>
          <w:bCs/>
          <w:color w:val="000000"/>
          <w:sz w:val="32"/>
          <w:szCs w:val="32"/>
        </w:rPr>
      </w:pPr>
    </w:p>
    <w:p w14:paraId="3D11E533">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7292A4E0">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A40A787">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08CF2A7E">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7518BB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50CFFB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414B290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46DD3A0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不接受联合体参选</w:t>
      </w:r>
      <w:r>
        <w:rPr>
          <w:rFonts w:hint="eastAsia" w:ascii="Times New Roman" w:hAnsi="Times New Roman" w:eastAsia="仿宋_GB2312" w:cs="Times New Roman"/>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cs="Times New Roman"/>
          <w:bCs/>
          <w:color w:val="000000"/>
          <w:sz w:val="32"/>
          <w:szCs w:val="32"/>
        </w:rPr>
        <w:t>）</w:t>
      </w:r>
      <w:r>
        <w:rPr>
          <w:rFonts w:hint="eastAsia" w:ascii="Times New Roman" w:hAnsi="Times New Roman" w:eastAsia="仿宋_GB2312"/>
          <w:sz w:val="32"/>
          <w:szCs w:val="32"/>
        </w:rPr>
        <w:t>；</w:t>
      </w:r>
    </w:p>
    <w:bookmarkEnd w:id="0"/>
    <w:p w14:paraId="14CAAA4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DF3DBA2">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4F3DAE44">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0C534D6F">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w:t>
      </w:r>
      <w:r>
        <w:rPr>
          <w:rFonts w:hint="eastAsia" w:ascii="仿宋" w:hAnsi="仿宋" w:eastAsia="仿宋" w:cs="仿宋"/>
          <w:kern w:val="0"/>
          <w:sz w:val="32"/>
          <w:szCs w:val="32"/>
          <w:lang w:val="en-US" w:eastAsia="zh-CN"/>
        </w:rPr>
        <w:t>营业执照、</w:t>
      </w:r>
      <w:r>
        <w:rPr>
          <w:rFonts w:hint="eastAsia" w:ascii="仿宋" w:hAnsi="仿宋" w:eastAsia="仿宋" w:cs="仿宋"/>
          <w:kern w:val="0"/>
          <w:sz w:val="32"/>
          <w:szCs w:val="32"/>
        </w:rPr>
        <w:t>承诺函）；</w:t>
      </w:r>
    </w:p>
    <w:p w14:paraId="72CE4FEC">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DCFE3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Times New Roman" w:hAnsi="Times New Roman" w:eastAsia="仿宋_GB2312" w:cs="Times New Roman"/>
          <w:bCs/>
          <w:color w:val="000000"/>
          <w:sz w:val="32"/>
          <w:szCs w:val="32"/>
          <w:lang w:val="en-US" w:eastAsia="zh-CN"/>
        </w:rPr>
        <w:t>，否则报价无效</w:t>
      </w:r>
      <w:r>
        <w:rPr>
          <w:rFonts w:hint="eastAsia" w:ascii="仿宋" w:hAnsi="仿宋" w:eastAsia="仿宋" w:cs="仿宋"/>
          <w:kern w:val="0"/>
          <w:sz w:val="32"/>
          <w:szCs w:val="32"/>
        </w:rPr>
        <w:t>，并在截止时间前完成报价。</w:t>
      </w:r>
    </w:p>
    <w:bookmarkEnd w:id="1"/>
    <w:p w14:paraId="0C10F945">
      <w:pPr>
        <w:numPr>
          <w:ilvl w:val="0"/>
          <w:numId w:val="3"/>
        </w:numPr>
        <w:spacing w:after="78" w:line="640" w:lineRule="exact"/>
        <w:ind w:firstLine="640" w:firstLineChars="200"/>
        <w:jc w:val="left"/>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选聘程序</w:t>
      </w:r>
    </w:p>
    <w:p w14:paraId="46EDD28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0237809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hint="eastAsia" w:ascii="Times New Roman" w:hAnsi="Times New Roman" w:eastAsia="仿宋_GB2312"/>
          <w:color w:val="000000"/>
          <w:sz w:val="32"/>
          <w:szCs w:val="32"/>
        </w:rPr>
        <w:t>在截止报价时间前，各参选单位以邮件形式递交报价文件至询价公告指定邮箱</w:t>
      </w:r>
      <w:r>
        <w:rPr>
          <w:rFonts w:hint="eastAsia" w:ascii="Times New Roman" w:hAnsi="Times New Roman" w:eastAsia="仿宋_GB2312"/>
          <w:color w:val="000000"/>
          <w:sz w:val="32"/>
          <w:szCs w:val="32"/>
          <w:lang w:eastAsia="zh-CN"/>
        </w:rPr>
        <w:t>（</w:t>
      </w:r>
      <w:r>
        <w:rPr>
          <w:rFonts w:hint="eastAsia" w:ascii="Times New Roman" w:hAnsi="Times New Roman" w:eastAsia="仿宋_GB2312"/>
          <w:b/>
          <w:bCs/>
          <w:color w:val="000000"/>
          <w:sz w:val="32"/>
          <w:szCs w:val="32"/>
          <w:lang w:val="en-US" w:eastAsia="zh-CN"/>
        </w:rPr>
        <w:t>邮件标题：参选公司名称+潜污泵采购项目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p>
    <w:p w14:paraId="264D075C">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对参选单位进行资格审查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如存在审</w:t>
      </w:r>
      <w:bookmarkStart w:id="70" w:name="_GoBack"/>
      <w:bookmarkEnd w:id="70"/>
      <w:r>
        <w:rPr>
          <w:rFonts w:ascii="Times New Roman" w:hAnsi="Times New Roman" w:eastAsia="仿宋_GB2312"/>
          <w:color w:val="000000"/>
          <w:sz w:val="32"/>
          <w:szCs w:val="32"/>
        </w:rPr>
        <w:t>核未通过的单位，则记录原因</w:t>
      </w:r>
      <w:r>
        <w:rPr>
          <w:rFonts w:hint="eastAsia" w:ascii="Times New Roman" w:hAnsi="Times New Roman" w:eastAsia="仿宋_GB2312"/>
          <w:color w:val="000000"/>
          <w:sz w:val="32"/>
          <w:szCs w:val="32"/>
        </w:rPr>
        <w:t>并通知</w:t>
      </w:r>
      <w:r>
        <w:rPr>
          <w:rFonts w:ascii="Times New Roman" w:hAnsi="Times New Roman" w:eastAsia="仿宋_GB2312"/>
          <w:color w:val="000000"/>
          <w:sz w:val="32"/>
          <w:szCs w:val="32"/>
        </w:rPr>
        <w:t>未通过的单位；</w:t>
      </w:r>
    </w:p>
    <w:p w14:paraId="0EA4CB29">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63129BB7">
      <w:pPr>
        <w:spacing w:after="78" w:line="640" w:lineRule="exact"/>
        <w:ind w:firstLine="640" w:firstLineChars="200"/>
        <w:jc w:val="left"/>
        <w:rPr>
          <w:rFonts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5BECA1A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0038720">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263943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139E7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5790488">
      <w:pPr>
        <w:pStyle w:val="9"/>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EAF897C">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
          <w:bCs/>
          <w:color w:val="000000"/>
          <w:sz w:val="32"/>
          <w:szCs w:val="32"/>
        </w:rPr>
        <w:t>本次采购限价</w:t>
      </w:r>
      <w:r>
        <w:rPr>
          <w:rFonts w:hint="eastAsia" w:ascii="Times New Roman" w:hAnsi="Times New Roman" w:eastAsia="仿宋"/>
          <w:bCs/>
          <w:color w:val="000000"/>
          <w:sz w:val="32"/>
          <w:szCs w:val="32"/>
          <w:lang w:val="en-US" w:eastAsia="zh-CN"/>
        </w:rPr>
        <w:t>为3</w:t>
      </w:r>
      <w:r>
        <w:rPr>
          <w:rFonts w:hint="eastAsia" w:ascii="Times New Roman" w:hAnsi="Times New Roman" w:eastAsia="仿宋"/>
          <w:bCs/>
          <w:color w:val="000000"/>
          <w:sz w:val="32"/>
          <w:szCs w:val="32"/>
        </w:rPr>
        <w:t>万元，采用总价包干模式，超过限价的报价视为无效报价。</w:t>
      </w:r>
    </w:p>
    <w:p w14:paraId="1F3A223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14406B9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066C77D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A3ECF4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6A2E0A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519025B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w:t>
      </w:r>
      <w:r>
        <w:rPr>
          <w:rFonts w:hint="eastAsia" w:ascii="Times New Roman" w:hAnsi="Times New Roman" w:eastAsia="仿宋_GB2312"/>
          <w:color w:val="000000"/>
          <w:sz w:val="32"/>
          <w:szCs w:val="32"/>
          <w:lang w:val="en-US" w:eastAsia="zh-CN"/>
        </w:rPr>
        <w:t>尽快与</w:t>
      </w:r>
      <w:r>
        <w:rPr>
          <w:rFonts w:hint="eastAsia" w:ascii="Times New Roman" w:hAnsi="Times New Roman" w:eastAsia="仿宋_GB2312"/>
          <w:color w:val="000000"/>
          <w:sz w:val="32"/>
          <w:szCs w:val="32"/>
        </w:rPr>
        <w:t>采购人签订采购合同。因中选人原因造成逾期未与采购人签订采购合同的，视为自动放弃；</w:t>
      </w:r>
    </w:p>
    <w:p w14:paraId="2202C50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5F4DE899">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AE118D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3883A39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涂工</w:t>
      </w:r>
    </w:p>
    <w:p w14:paraId="2D2882E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6E00614">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rPr>
        <w:fldChar w:fldCharType="begin"/>
      </w:r>
      <w:r>
        <w:rPr>
          <w:rFonts w:hint="eastAsia" w:ascii="Times New Roman" w:hAnsi="Times New Roman" w:eastAsia="仿宋_GB2312"/>
          <w:color w:val="000000"/>
          <w:kern w:val="0"/>
          <w:sz w:val="32"/>
          <w:szCs w:val="32"/>
        </w:rPr>
        <w:instrText xml:space="preserve"> HYPERLINK "mailto:sszxhjcaigoua@163.com" </w:instrText>
      </w:r>
      <w:r>
        <w:rPr>
          <w:rFonts w:hint="eastAsia" w:ascii="Times New Roman" w:hAnsi="Times New Roman" w:eastAsia="仿宋_GB2312"/>
          <w:color w:val="000000"/>
          <w:kern w:val="0"/>
          <w:sz w:val="32"/>
          <w:szCs w:val="32"/>
        </w:rPr>
        <w:fldChar w:fldCharType="separate"/>
      </w:r>
      <w:r>
        <w:rPr>
          <w:rStyle w:val="26"/>
          <w:rFonts w:hint="eastAsia" w:ascii="Times New Roman" w:hAnsi="Times New Roman" w:eastAsia="仿宋_GB2312"/>
          <w:kern w:val="0"/>
          <w:sz w:val="32"/>
          <w:szCs w:val="32"/>
        </w:rPr>
        <w:t>sszxhjcaigoua@163.com</w:t>
      </w:r>
      <w:r>
        <w:rPr>
          <w:rFonts w:hint="eastAsia" w:ascii="Times New Roman" w:hAnsi="Times New Roman" w:eastAsia="仿宋_GB2312"/>
          <w:color w:val="000000"/>
          <w:kern w:val="0"/>
          <w:sz w:val="32"/>
          <w:szCs w:val="32"/>
        </w:rPr>
        <w:fldChar w:fldCharType="end"/>
      </w:r>
    </w:p>
    <w:p w14:paraId="4AFB69BE">
      <w:pPr>
        <w:spacing w:after="78" w:line="640" w:lineRule="exact"/>
        <w:ind w:firstLine="420" w:firstLineChars="200"/>
        <w:jc w:val="left"/>
      </w:pPr>
    </w:p>
    <w:p w14:paraId="55F05A5D">
      <w:pPr>
        <w:pStyle w:val="9"/>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w:t>
      </w:r>
      <w:bookmarkStart w:id="3" w:name="_Hlk173242670"/>
      <w:r>
        <w:rPr>
          <w:rFonts w:hint="eastAsia" w:ascii="Times New Roman" w:hAnsi="Times New Roman" w:eastAsia="仿宋_GB2312"/>
          <w:color w:val="000000"/>
          <w:kern w:val="0"/>
          <w:sz w:val="32"/>
          <w:szCs w:val="32"/>
        </w:rPr>
        <w:t>深圳市</w:t>
      </w:r>
      <w:r>
        <w:rPr>
          <w:rFonts w:hint="eastAsia" w:ascii="Times New Roman" w:hAnsi="Times New Roman" w:eastAsia="仿宋_GB2312"/>
          <w:color w:val="000000"/>
          <w:kern w:val="0"/>
          <w:sz w:val="32"/>
          <w:szCs w:val="32"/>
          <w:lang w:val="en-US" w:eastAsia="zh-CN"/>
        </w:rPr>
        <w:t>深水水务咨询</w:t>
      </w:r>
      <w:r>
        <w:rPr>
          <w:rFonts w:hint="eastAsia" w:ascii="Times New Roman" w:hAnsi="Times New Roman" w:eastAsia="仿宋_GB2312"/>
          <w:color w:val="000000"/>
          <w:kern w:val="0"/>
          <w:sz w:val="32"/>
          <w:szCs w:val="32"/>
        </w:rPr>
        <w:t>有限公司</w:t>
      </w:r>
      <w:bookmarkEnd w:id="3"/>
    </w:p>
    <w:p w14:paraId="00C77A34">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w:t>
      </w: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4"/>
    </w:p>
    <w:p w14:paraId="179B20AC">
      <w:pPr>
        <w:wordWrap w:val="0"/>
        <w:spacing w:after="78" w:line="640" w:lineRule="exact"/>
        <w:jc w:val="righ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 xml:space="preserve">   </w:t>
      </w:r>
    </w:p>
    <w:p w14:paraId="156EBFE4">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4"/>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C649F2C">
      <w:pPr>
        <w:spacing w:after="78"/>
        <w:jc w:val="left"/>
        <w:rPr>
          <w:rFonts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62813E4">
      <w:pPr>
        <w:spacing w:after="78"/>
        <w:jc w:val="center"/>
        <w:rPr>
          <w:rFonts w:ascii="黑体" w:hAnsi="黑体" w:eastAsia="黑体" w:cs="黑体"/>
          <w:color w:val="000000"/>
          <w:szCs w:val="28"/>
          <w:u w:val="single"/>
        </w:rPr>
      </w:pPr>
    </w:p>
    <w:p w14:paraId="26B59779">
      <w:pPr>
        <w:spacing w:after="78"/>
        <w:jc w:val="center"/>
        <w:rPr>
          <w:rFonts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lang w:val="en-US" w:eastAsia="zh-CN"/>
        </w:rPr>
        <w:t>深圳市深水水务咨询有限</w:t>
      </w:r>
      <w:r>
        <w:rPr>
          <w:rFonts w:hint="eastAsia" w:ascii="黑体" w:hAnsi="黑体" w:eastAsia="黑体" w:cs="黑体"/>
          <w:color w:val="000000"/>
          <w:sz w:val="56"/>
          <w:szCs w:val="56"/>
          <w:shd w:val="clear" w:color="auto" w:fill="FFFFFF"/>
        </w:rPr>
        <w:t>公司</w:t>
      </w:r>
    </w:p>
    <w:p w14:paraId="4C31914A">
      <w:pPr>
        <w:spacing w:after="78"/>
        <w:rPr>
          <w:rFonts w:ascii="黑体" w:hAnsi="黑体" w:eastAsia="黑体" w:cs="黑体"/>
          <w:color w:val="000000"/>
          <w:sz w:val="72"/>
          <w:szCs w:val="72"/>
          <w:shd w:val="clear" w:color="auto" w:fill="FFFFFF"/>
        </w:rPr>
      </w:pPr>
    </w:p>
    <w:p w14:paraId="6EDE071D">
      <w:pPr>
        <w:spacing w:after="78"/>
        <w:rPr>
          <w:rFonts w:ascii="黑体" w:hAnsi="黑体" w:eastAsia="黑体" w:cs="黑体"/>
          <w:color w:val="000000"/>
          <w:sz w:val="72"/>
          <w:szCs w:val="72"/>
          <w:shd w:val="clear" w:color="auto" w:fill="FFFFFF"/>
        </w:rPr>
      </w:pPr>
    </w:p>
    <w:p w14:paraId="45A6BD2C">
      <w:pPr>
        <w:spacing w:after="78"/>
        <w:rPr>
          <w:rFonts w:ascii="黑体" w:hAnsi="黑体" w:eastAsia="黑体" w:cs="黑体"/>
          <w:color w:val="000000"/>
          <w:sz w:val="72"/>
          <w:szCs w:val="72"/>
          <w:shd w:val="clear" w:color="auto" w:fill="FFFFFF"/>
        </w:rPr>
      </w:pPr>
    </w:p>
    <w:p w14:paraId="4854DC09">
      <w:pPr>
        <w:spacing w:after="78"/>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xxxxx采购合同</w:t>
      </w:r>
    </w:p>
    <w:p w14:paraId="695BAC0F">
      <w:pPr>
        <w:spacing w:after="78"/>
        <w:rPr>
          <w:rFonts w:ascii="黑体" w:hAnsi="黑体" w:eastAsia="黑体" w:cs="黑体"/>
          <w:color w:val="000000"/>
          <w:sz w:val="30"/>
          <w:szCs w:val="30"/>
          <w:shd w:val="clear" w:color="auto" w:fill="FFFFFF"/>
        </w:rPr>
      </w:pPr>
    </w:p>
    <w:p w14:paraId="205B37E2">
      <w:pPr>
        <w:pStyle w:val="69"/>
        <w:spacing w:after="78"/>
        <w:ind w:firstLine="0" w:firstLineChars="0"/>
        <w:rPr>
          <w:sz w:val="30"/>
          <w:szCs w:val="30"/>
        </w:rPr>
      </w:pPr>
    </w:p>
    <w:p w14:paraId="4A985CA3">
      <w:pPr>
        <w:spacing w:after="78"/>
        <w:rPr>
          <w:rFonts w:ascii="黑体" w:hAnsi="黑体" w:eastAsia="黑体"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53B11AED">
        <w:tblPrEx>
          <w:tblCellMar>
            <w:top w:w="0" w:type="dxa"/>
            <w:left w:w="108" w:type="dxa"/>
            <w:bottom w:w="0" w:type="dxa"/>
            <w:right w:w="108" w:type="dxa"/>
          </w:tblCellMar>
        </w:tblPrEx>
        <w:trPr>
          <w:jc w:val="center"/>
        </w:trPr>
        <w:tc>
          <w:tcPr>
            <w:tcW w:w="1804" w:type="dxa"/>
            <w:shd w:val="clear" w:color="auto" w:fill="auto"/>
            <w:vAlign w:val="center"/>
          </w:tcPr>
          <w:p w14:paraId="7D7D60E7">
            <w:pPr>
              <w:spacing w:after="78" w:line="720" w:lineRule="auto"/>
              <w:jc w:val="center"/>
              <w:rPr>
                <w:rFonts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7B45558D">
            <w:pPr>
              <w:spacing w:after="78" w:line="720" w:lineRule="auto"/>
              <w:rPr>
                <w:rFonts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493DEBB7">
        <w:tblPrEx>
          <w:tblCellMar>
            <w:top w:w="0" w:type="dxa"/>
            <w:left w:w="108" w:type="dxa"/>
            <w:bottom w:w="0" w:type="dxa"/>
            <w:right w:w="108" w:type="dxa"/>
          </w:tblCellMar>
        </w:tblPrEx>
        <w:trPr>
          <w:jc w:val="center"/>
        </w:trPr>
        <w:tc>
          <w:tcPr>
            <w:tcW w:w="1804" w:type="dxa"/>
            <w:shd w:val="clear" w:color="auto" w:fill="auto"/>
            <w:vAlign w:val="center"/>
          </w:tcPr>
          <w:p w14:paraId="63E08224">
            <w:pPr>
              <w:spacing w:after="78" w:line="720" w:lineRule="auto"/>
              <w:jc w:val="center"/>
              <w:rPr>
                <w:rFonts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61759D70">
            <w:pPr>
              <w:spacing w:after="78" w:line="720" w:lineRule="auto"/>
              <w:rPr>
                <w:rFonts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58F834F0">
      <w:pPr>
        <w:spacing w:after="78"/>
        <w:ind w:firstLine="640"/>
        <w:jc w:val="center"/>
        <w:rPr>
          <w:rFonts w:ascii="黑体" w:hAnsi="黑体" w:eastAsia="黑体" w:cs="黑体"/>
          <w:color w:val="000000"/>
          <w:sz w:val="32"/>
          <w:szCs w:val="32"/>
          <w:shd w:val="clear" w:color="auto" w:fill="FFFFFF"/>
        </w:rPr>
      </w:pPr>
    </w:p>
    <w:p w14:paraId="25CE292A">
      <w:pPr>
        <w:pStyle w:val="9"/>
        <w:spacing w:line="640" w:lineRule="exact"/>
        <w:ind w:left="2358" w:leftChars="836" w:hanging="602" w:hangingChars="200"/>
      </w:pPr>
      <w:r>
        <w:rPr>
          <w:rFonts w:hint="eastAsia" w:ascii="黑体" w:eastAsia="黑体"/>
          <w:b/>
          <w:color w:val="000000"/>
          <w:sz w:val="30"/>
          <w:szCs w:val="30"/>
        </w:rPr>
        <w:br w:type="page"/>
      </w:r>
    </w:p>
    <w:p w14:paraId="1C7AAC93">
      <w:pPr>
        <w:spacing w:after="78"/>
      </w:pPr>
    </w:p>
    <w:p w14:paraId="6F7FCBE0">
      <w:pPr>
        <w:spacing w:after="78"/>
        <w:ind w:firstLine="265" w:firstLineChars="66"/>
        <w:jc w:val="center"/>
        <w:rPr>
          <w:b/>
          <w:bCs/>
        </w:rPr>
      </w:pPr>
      <w:r>
        <w:rPr>
          <w:rFonts w:hint="eastAsia"/>
          <w:b/>
          <w:bCs/>
          <w:sz w:val="40"/>
          <w:szCs w:val="32"/>
        </w:rPr>
        <w:t>xxxxx采购合同</w:t>
      </w:r>
    </w:p>
    <w:p w14:paraId="34C6422C">
      <w:pPr>
        <w:spacing w:after="78"/>
        <w:ind w:firstLine="560"/>
      </w:pPr>
    </w:p>
    <w:p w14:paraId="3334FA06">
      <w:pPr>
        <w:spacing w:after="78"/>
        <w:ind w:firstLine="560"/>
      </w:pPr>
      <w:r>
        <w:rPr>
          <w:rFonts w:hint="eastAsia"/>
        </w:rPr>
        <w:t>甲方（买方）：XXXXXXXX有限公司</w:t>
      </w:r>
    </w:p>
    <w:p w14:paraId="17D807A6">
      <w:pPr>
        <w:spacing w:after="78"/>
        <w:ind w:firstLine="560"/>
      </w:pPr>
      <w:r>
        <w:rPr>
          <w:rFonts w:hint="eastAsia"/>
        </w:rPr>
        <w:t>通讯地址：</w:t>
      </w:r>
    </w:p>
    <w:p w14:paraId="681AD168">
      <w:pPr>
        <w:spacing w:after="78"/>
        <w:ind w:firstLine="560"/>
      </w:pPr>
    </w:p>
    <w:p w14:paraId="310FBD2B">
      <w:pPr>
        <w:spacing w:after="78"/>
        <w:ind w:firstLine="560"/>
      </w:pPr>
      <w:r>
        <w:rPr>
          <w:rFonts w:hint="eastAsia"/>
        </w:rPr>
        <w:t>乙方（卖方）：XXXXXXXX有限公司</w:t>
      </w:r>
    </w:p>
    <w:p w14:paraId="2BE10540">
      <w:pPr>
        <w:spacing w:after="78"/>
        <w:ind w:firstLine="560"/>
      </w:pPr>
      <w:r>
        <w:rPr>
          <w:rFonts w:hint="eastAsia"/>
        </w:rPr>
        <w:t>通讯地址：</w:t>
      </w:r>
    </w:p>
    <w:p w14:paraId="0C323AB8">
      <w:pPr>
        <w:spacing w:after="78"/>
        <w:ind w:firstLine="560"/>
      </w:pPr>
    </w:p>
    <w:p w14:paraId="5E91B53A">
      <w:pPr>
        <w:spacing w:after="78"/>
        <w:ind w:firstLine="560"/>
      </w:pPr>
      <w:r>
        <w:rPr>
          <w:rFonts w:hint="eastAsia"/>
        </w:rPr>
        <w:t>甲、乙双方根据《中华人民共和国民法典》等相关法律、法规的规定，经平等协商达成合同如下：</w:t>
      </w:r>
    </w:p>
    <w:p w14:paraId="0734BBE2">
      <w:pPr>
        <w:pStyle w:val="6"/>
        <w:spacing w:before="156" w:beforeLines="50" w:after="156" w:afterLines="50"/>
        <w:ind w:left="1020" w:leftChars="200" w:hanging="600"/>
        <w:jc w:val="left"/>
        <w:rPr>
          <w:rFonts w:ascii="宋体" w:hAnsi="宋体" w:cs="宋体"/>
          <w:color w:val="000000"/>
          <w:szCs w:val="24"/>
        </w:rPr>
      </w:pPr>
      <w:bookmarkStart w:id="5" w:name="_Toc201401643"/>
      <w:bookmarkStart w:id="6" w:name="_Toc201719103"/>
      <w:bookmarkStart w:id="7" w:name="_Toc201997927"/>
      <w:bookmarkStart w:id="8" w:name="_Toc199215763"/>
      <w:bookmarkStart w:id="9" w:name="_Toc201742844"/>
      <w:bookmarkStart w:id="10" w:name="_Toc199215931"/>
      <w:bookmarkStart w:id="11" w:name="_Toc201743099"/>
      <w:bookmarkStart w:id="12" w:name="_Toc199213728"/>
      <w:r>
        <w:rPr>
          <w:rFonts w:hint="eastAsia" w:ascii="宋体" w:hAnsi="宋体" w:cs="宋体"/>
          <w:color w:val="000000"/>
          <w:szCs w:val="24"/>
          <w:lang w:eastAsia="zh-Hans"/>
        </w:rPr>
        <w:t>一、</w:t>
      </w:r>
      <w:r>
        <w:rPr>
          <w:rFonts w:hint="eastAsia" w:ascii="宋体" w:hAnsi="宋体" w:cs="宋体"/>
          <w:color w:val="000000"/>
          <w:szCs w:val="24"/>
        </w:rPr>
        <w:t>货物和数量</w:t>
      </w:r>
      <w:bookmarkEnd w:id="5"/>
      <w:bookmarkEnd w:id="6"/>
      <w:bookmarkEnd w:id="7"/>
      <w:bookmarkEnd w:id="8"/>
      <w:bookmarkEnd w:id="9"/>
      <w:bookmarkEnd w:id="10"/>
      <w:bookmarkEnd w:id="11"/>
      <w:bookmarkEnd w:id="12"/>
    </w:p>
    <w:p w14:paraId="7A7BA4D0">
      <w:pPr>
        <w:spacing w:after="78"/>
        <w:ind w:firstLine="560"/>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97"/>
        <w:gridCol w:w="2736"/>
        <w:gridCol w:w="1062"/>
        <w:gridCol w:w="624"/>
        <w:gridCol w:w="624"/>
        <w:gridCol w:w="622"/>
        <w:gridCol w:w="630"/>
      </w:tblGrid>
      <w:tr w14:paraId="119D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6" w:type="pct"/>
            <w:vAlign w:val="center"/>
          </w:tcPr>
          <w:p w14:paraId="762444DD">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6" w:type="pct"/>
            <w:vAlign w:val="center"/>
          </w:tcPr>
          <w:p w14:paraId="1A702DF0">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634" w:type="pct"/>
            <w:vAlign w:val="center"/>
          </w:tcPr>
          <w:p w14:paraId="4586C33D">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762" w:type="pct"/>
            <w:vAlign w:val="center"/>
          </w:tcPr>
          <w:p w14:paraId="1F18A9DA">
            <w:pPr>
              <w:widowControl/>
              <w:spacing w:after="78"/>
              <w:jc w:val="center"/>
              <w:rPr>
                <w:rFonts w:hint="eastAsia" w:asciiTheme="minorEastAsia" w:hAnsiTheme="minorEastAsia" w:eastAsiaTheme="minorEastAsia"/>
                <w:b/>
                <w:bCs/>
                <w:kern w:val="0"/>
                <w:szCs w:val="21"/>
                <w:lang w:eastAsia="zh-CN"/>
              </w:rPr>
            </w:pPr>
            <w:r>
              <w:rPr>
                <w:rFonts w:hint="eastAsia" w:asciiTheme="minorEastAsia" w:hAnsiTheme="minorEastAsia" w:eastAsiaTheme="minorEastAsia"/>
                <w:b/>
                <w:bCs/>
                <w:kern w:val="0"/>
                <w:szCs w:val="21"/>
                <w:lang w:val="en-US" w:eastAsia="zh-CN"/>
              </w:rPr>
              <w:t>材质</w:t>
            </w:r>
          </w:p>
        </w:tc>
        <w:tc>
          <w:tcPr>
            <w:tcW w:w="505" w:type="pct"/>
            <w:vAlign w:val="center"/>
          </w:tcPr>
          <w:p w14:paraId="71B347D8">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2BA634E">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3" w:type="pct"/>
            <w:vAlign w:val="center"/>
          </w:tcPr>
          <w:p w14:paraId="34265BCB">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6" w:type="pct"/>
            <w:vAlign w:val="center"/>
          </w:tcPr>
          <w:p w14:paraId="2A52EB90">
            <w:pPr>
              <w:widowControl/>
              <w:spacing w:after="78"/>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0B9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6" w:type="pct"/>
            <w:vAlign w:val="center"/>
          </w:tcPr>
          <w:p w14:paraId="30153FB8">
            <w:pPr>
              <w:widowControl/>
              <w:spacing w:after="78"/>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6" w:type="pct"/>
            <w:vAlign w:val="center"/>
          </w:tcPr>
          <w:p w14:paraId="2DA02800">
            <w:pPr>
              <w:widowControl/>
              <w:spacing w:after="78"/>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潜污泵</w:t>
            </w:r>
          </w:p>
        </w:tc>
        <w:tc>
          <w:tcPr>
            <w:tcW w:w="634" w:type="pct"/>
            <w:vAlign w:val="center"/>
          </w:tcPr>
          <w:p w14:paraId="52C98EC3">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Q=10m³/h,H=18m,N=2.2kw，不锈钢切割泵，四芯8m</w:t>
            </w:r>
            <w:r>
              <w:rPr>
                <w:rFonts w:hint="eastAsia" w:asciiTheme="minorEastAsia" w:hAnsiTheme="minorEastAsia" w:eastAsiaTheme="minorEastAsia"/>
                <w:kern w:val="0"/>
                <w:szCs w:val="21"/>
                <w:lang w:val="en-US" w:eastAsia="zh-CN"/>
              </w:rPr>
              <w:tab/>
            </w:r>
            <w:r>
              <w:rPr>
                <w:rFonts w:hint="eastAsia" w:asciiTheme="minorEastAsia" w:hAnsiTheme="minorEastAsia" w:eastAsiaTheme="minorEastAsia"/>
                <w:kern w:val="0"/>
                <w:szCs w:val="21"/>
                <w:lang w:val="en-US" w:eastAsia="zh-CN"/>
              </w:rPr>
              <w:t>电缆</w:t>
            </w:r>
          </w:p>
        </w:tc>
        <w:tc>
          <w:tcPr>
            <w:tcW w:w="762" w:type="pct"/>
            <w:vAlign w:val="center"/>
          </w:tcPr>
          <w:p w14:paraId="7F96583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不锈钢</w:t>
            </w:r>
          </w:p>
        </w:tc>
        <w:tc>
          <w:tcPr>
            <w:tcW w:w="505" w:type="pct"/>
            <w:vAlign w:val="center"/>
          </w:tcPr>
          <w:p w14:paraId="6C7FA002">
            <w:pPr>
              <w:widowControl/>
              <w:spacing w:after="78"/>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4台</w:t>
            </w:r>
          </w:p>
        </w:tc>
        <w:tc>
          <w:tcPr>
            <w:tcW w:w="505" w:type="pct"/>
            <w:vAlign w:val="center"/>
          </w:tcPr>
          <w:p w14:paraId="69617DFA">
            <w:pPr>
              <w:widowControl/>
              <w:spacing w:after="78"/>
              <w:jc w:val="center"/>
              <w:rPr>
                <w:rFonts w:asciiTheme="minorEastAsia" w:hAnsiTheme="minorEastAsia" w:eastAsiaTheme="minorEastAsia"/>
                <w:kern w:val="0"/>
                <w:szCs w:val="21"/>
              </w:rPr>
            </w:pPr>
          </w:p>
        </w:tc>
        <w:tc>
          <w:tcPr>
            <w:tcW w:w="503" w:type="pct"/>
            <w:vAlign w:val="center"/>
          </w:tcPr>
          <w:p w14:paraId="12DF8809">
            <w:pPr>
              <w:widowControl/>
              <w:spacing w:after="78"/>
              <w:jc w:val="center"/>
              <w:rPr>
                <w:rFonts w:asciiTheme="minorEastAsia" w:hAnsiTheme="minorEastAsia" w:eastAsiaTheme="minorEastAsia"/>
                <w:kern w:val="0"/>
                <w:szCs w:val="21"/>
              </w:rPr>
            </w:pPr>
          </w:p>
        </w:tc>
        <w:tc>
          <w:tcPr>
            <w:tcW w:w="506" w:type="pct"/>
            <w:vAlign w:val="center"/>
          </w:tcPr>
          <w:p w14:paraId="3031E035">
            <w:pPr>
              <w:widowControl/>
              <w:spacing w:after="78"/>
              <w:jc w:val="center"/>
              <w:rPr>
                <w:rFonts w:asciiTheme="minorEastAsia" w:hAnsiTheme="minorEastAsia" w:eastAsiaTheme="minorEastAsia"/>
                <w:kern w:val="0"/>
                <w:szCs w:val="21"/>
              </w:rPr>
            </w:pPr>
          </w:p>
        </w:tc>
      </w:tr>
      <w:tr w14:paraId="6FE1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6" w:type="pct"/>
            <w:vAlign w:val="center"/>
          </w:tcPr>
          <w:p w14:paraId="321F0809">
            <w:pPr>
              <w:widowControl/>
              <w:spacing w:after="78"/>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3" w:type="pct"/>
            <w:gridSpan w:val="7"/>
            <w:vAlign w:val="center"/>
          </w:tcPr>
          <w:p w14:paraId="4C7FBE8F">
            <w:pPr>
              <w:widowControl/>
              <w:spacing w:after="78"/>
              <w:jc w:val="center"/>
              <w:rPr>
                <w:rFonts w:asciiTheme="minorEastAsia" w:hAnsiTheme="minorEastAsia" w:eastAsiaTheme="minorEastAsia"/>
                <w:kern w:val="0"/>
                <w:szCs w:val="21"/>
              </w:rPr>
            </w:pPr>
          </w:p>
        </w:tc>
      </w:tr>
    </w:tbl>
    <w:p w14:paraId="1C3D532E">
      <w:pPr>
        <w:pStyle w:val="69"/>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合同为单价合同，据实结算，</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所需的全部费用，包括但不限于设备的价格，设备的指导安装费，</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1DBE4B1A">
      <w:pPr>
        <w:pStyle w:val="21"/>
        <w:spacing w:after="78"/>
        <w:ind w:left="0" w:leftChars="0" w:firstLine="0" w:firstLineChars="0"/>
      </w:pPr>
    </w:p>
    <w:p w14:paraId="0E2FBD1A">
      <w:pPr>
        <w:pStyle w:val="6"/>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C0EA414">
      <w:pPr>
        <w:spacing w:after="78"/>
        <w:ind w:firstLine="560"/>
      </w:pPr>
      <w:r>
        <w:rPr>
          <w:rFonts w:hint="eastAsia"/>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4A4A858">
      <w:pPr>
        <w:pStyle w:val="6"/>
        <w:spacing w:before="156" w:beforeLines="50" w:after="156" w:afterLines="50"/>
        <w:ind w:left="1020" w:leftChars="200" w:hanging="600"/>
        <w:jc w:val="left"/>
      </w:pPr>
      <w:bookmarkStart w:id="13" w:name="_Toc199215765"/>
      <w:bookmarkStart w:id="14" w:name="_Toc201719105"/>
      <w:bookmarkStart w:id="15" w:name="_Toc199213730"/>
      <w:bookmarkStart w:id="16" w:name="_Toc201997929"/>
      <w:bookmarkStart w:id="17" w:name="_Toc199215933"/>
      <w:bookmarkStart w:id="18" w:name="_Toc201401645"/>
      <w:bookmarkStart w:id="19" w:name="_Toc201742846"/>
      <w:bookmarkStart w:id="20" w:name="_Toc201743101"/>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3"/>
      <w:bookmarkEnd w:id="14"/>
      <w:bookmarkEnd w:id="15"/>
      <w:bookmarkEnd w:id="16"/>
      <w:bookmarkEnd w:id="17"/>
      <w:bookmarkEnd w:id="18"/>
      <w:bookmarkEnd w:id="19"/>
      <w:bookmarkEnd w:id="20"/>
    </w:p>
    <w:p w14:paraId="66942329">
      <w:pPr>
        <w:spacing w:after="78"/>
        <w:ind w:firstLine="560"/>
      </w:pPr>
      <w:r>
        <w:rPr>
          <w:rFonts w:hint="eastAsia"/>
          <w:lang w:val="en-US" w:eastAsia="zh-CN"/>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63A38280">
      <w:pPr>
        <w:pStyle w:val="68"/>
        <w:spacing w:after="78"/>
        <w:ind w:firstLine="482" w:firstLineChars="200"/>
        <w:rPr>
          <w:rFonts w:ascii="宋体" w:hAnsi="宋体" w:cs="宋体"/>
          <w:b/>
          <w:bCs/>
          <w:sz w:val="24"/>
        </w:rPr>
      </w:pPr>
      <w:r>
        <w:rPr>
          <w:rFonts w:hint="eastAsia" w:ascii="宋体" w:hAnsi="宋体" w:cs="宋体"/>
          <w:b/>
          <w:bCs/>
          <w:sz w:val="24"/>
        </w:rPr>
        <w:t>甲方开票信息</w:t>
      </w:r>
    </w:p>
    <w:p w14:paraId="48FAC470">
      <w:pPr>
        <w:spacing w:after="78"/>
        <w:ind w:firstLine="560"/>
      </w:pPr>
      <w:r>
        <w:rPr>
          <w:rFonts w:hint="eastAsia"/>
        </w:rPr>
        <w:t>名称：</w:t>
      </w:r>
    </w:p>
    <w:p w14:paraId="4D1156B3">
      <w:pPr>
        <w:spacing w:after="78"/>
        <w:ind w:firstLine="560"/>
      </w:pPr>
      <w:r>
        <w:rPr>
          <w:rFonts w:hint="eastAsia"/>
        </w:rPr>
        <w:t>税号：</w:t>
      </w:r>
    </w:p>
    <w:p w14:paraId="59939FEE">
      <w:pPr>
        <w:spacing w:after="78"/>
        <w:ind w:firstLine="560"/>
      </w:pPr>
      <w:r>
        <w:rPr>
          <w:rFonts w:hint="eastAsia"/>
        </w:rPr>
        <w:t>单位地址：</w:t>
      </w:r>
    </w:p>
    <w:p w14:paraId="2C8BCBD7">
      <w:pPr>
        <w:spacing w:after="78"/>
        <w:ind w:firstLine="560"/>
      </w:pPr>
      <w:r>
        <w:rPr>
          <w:rFonts w:hint="eastAsia"/>
        </w:rPr>
        <w:t>电话：</w:t>
      </w:r>
    </w:p>
    <w:p w14:paraId="34DE245F">
      <w:pPr>
        <w:spacing w:after="78"/>
        <w:ind w:firstLine="560"/>
      </w:pPr>
      <w:r>
        <w:rPr>
          <w:rFonts w:hint="eastAsia"/>
        </w:rPr>
        <w:t>开户银行：</w:t>
      </w:r>
    </w:p>
    <w:p w14:paraId="62FD02FA">
      <w:pPr>
        <w:spacing w:after="78"/>
        <w:ind w:firstLine="560"/>
      </w:pPr>
      <w:r>
        <w:rPr>
          <w:rFonts w:hint="eastAsia"/>
        </w:rPr>
        <w:t>银行账户：</w:t>
      </w:r>
    </w:p>
    <w:p w14:paraId="79872EBC">
      <w:pPr>
        <w:spacing w:after="78"/>
        <w:ind w:firstLine="562"/>
        <w:rPr>
          <w:b/>
          <w:bCs/>
        </w:rPr>
      </w:pPr>
      <w:r>
        <w:rPr>
          <w:rFonts w:hint="eastAsia"/>
          <w:b/>
          <w:bCs/>
          <w:color w:val="000000"/>
        </w:rPr>
        <w:t>乙方开户行和账号</w:t>
      </w:r>
    </w:p>
    <w:p w14:paraId="2A58B902">
      <w:pPr>
        <w:spacing w:after="78"/>
        <w:ind w:firstLine="560"/>
        <w:rPr>
          <w:color w:val="000000"/>
          <w:lang w:eastAsia="zh-Hans"/>
        </w:rPr>
      </w:pPr>
      <w:r>
        <w:rPr>
          <w:rFonts w:hint="eastAsia"/>
          <w:color w:val="000000"/>
          <w:lang w:eastAsia="zh-Hans"/>
        </w:rPr>
        <w:t>开户银行：</w:t>
      </w:r>
    </w:p>
    <w:p w14:paraId="2F70D258">
      <w:pPr>
        <w:spacing w:after="78"/>
        <w:ind w:firstLine="560"/>
        <w:rPr>
          <w:color w:val="000000"/>
          <w:lang w:eastAsia="zh-Hans"/>
        </w:rPr>
      </w:pPr>
      <w:r>
        <w:rPr>
          <w:rFonts w:hint="eastAsia"/>
          <w:color w:val="000000"/>
          <w:lang w:eastAsia="zh-Hans"/>
        </w:rPr>
        <w:t>户    名：</w:t>
      </w:r>
    </w:p>
    <w:p w14:paraId="12211880">
      <w:pPr>
        <w:spacing w:after="78"/>
        <w:ind w:firstLine="560"/>
        <w:rPr>
          <w:color w:val="000000"/>
          <w:lang w:eastAsia="zh-Hans"/>
        </w:rPr>
      </w:pPr>
      <w:r>
        <w:rPr>
          <w:rFonts w:hint="eastAsia"/>
          <w:color w:val="000000"/>
          <w:lang w:eastAsia="zh-Hans"/>
        </w:rPr>
        <w:t>帐    号：</w:t>
      </w:r>
    </w:p>
    <w:p w14:paraId="24A776AB">
      <w:pPr>
        <w:spacing w:after="78"/>
        <w:ind w:firstLine="560"/>
        <w:rPr>
          <w:b/>
          <w:bCs/>
          <w:color w:val="FF0000"/>
          <w:szCs w:val="32"/>
        </w:rPr>
      </w:pPr>
      <w:r>
        <w:rPr>
          <w:rFonts w:hint="eastAsia"/>
          <w:lang w:val="en-US" w:eastAsia="zh-CN"/>
        </w:rPr>
        <w:t>2.</w:t>
      </w:r>
      <w:r>
        <w:rPr>
          <w:rFonts w:hint="eastAsia"/>
        </w:rPr>
        <w:t>付款方式</w:t>
      </w:r>
    </w:p>
    <w:p w14:paraId="7B194E2D">
      <w:pPr>
        <w:spacing w:after="78"/>
        <w:ind w:firstLine="630" w:firstLineChars="300"/>
      </w:pPr>
      <w:r>
        <w:rPr>
          <w:rFonts w:hint="eastAsia"/>
        </w:rPr>
        <w:t>（1）合同签订后15个工作日内，甲方向乙方支付合同金额的30%作为预付款。</w:t>
      </w:r>
    </w:p>
    <w:p w14:paraId="4C070473">
      <w:pPr>
        <w:spacing w:after="78"/>
        <w:ind w:firstLine="630" w:firstLineChars="300"/>
        <w:rPr>
          <w:rFonts w:hint="eastAsia"/>
        </w:rPr>
      </w:pPr>
      <w:r>
        <w:rPr>
          <w:rFonts w:hint="eastAsia"/>
        </w:rPr>
        <w:t>（2）合同货物到货并验收通过后，甲方支付至合同价总额95%验收款。</w:t>
      </w:r>
    </w:p>
    <w:p w14:paraId="241C2AD4">
      <w:pPr>
        <w:spacing w:after="78"/>
        <w:ind w:firstLine="630" w:firstLineChars="300"/>
      </w:pPr>
      <w:r>
        <w:rPr>
          <w:rFonts w:hint="eastAsia"/>
        </w:rPr>
        <w:t>（3）质保期满后（质保期为从本项目完工起一年时间），甲方向乙方支付剩余款项。</w:t>
      </w:r>
    </w:p>
    <w:p w14:paraId="2E7D6090">
      <w:pPr>
        <w:spacing w:after="78"/>
        <w:ind w:firstLine="630" w:firstLineChars="300"/>
      </w:pPr>
      <w:r>
        <w:rPr>
          <w:rFonts w:hint="eastAsia"/>
        </w:rPr>
        <w:t>甲方每次支付款项前，乙方应按甲方要求开具合法有效的等额增值税发票。其中，设备费开具13%的增值税专用发票。由于</w:t>
      </w:r>
      <w:r>
        <w:rPr>
          <w:rFonts w:hint="eastAsia"/>
          <w:lang w:eastAsia="zh-Hans"/>
        </w:rPr>
        <w:t>乙方未提供付款申请材料的，付款时间相应顺延，甲方无需承担逾期付款的违约责任。</w:t>
      </w:r>
    </w:p>
    <w:p w14:paraId="722ED712">
      <w:pPr>
        <w:pStyle w:val="6"/>
        <w:spacing w:before="156" w:beforeLines="50" w:after="156" w:afterLines="50"/>
        <w:ind w:left="1020" w:leftChars="200" w:hanging="600"/>
        <w:jc w:val="left"/>
        <w:rPr>
          <w:rFonts w:ascii="宋体" w:hAnsi="宋体" w:cs="宋体"/>
          <w:color w:val="000000"/>
          <w:szCs w:val="24"/>
        </w:rPr>
      </w:pPr>
      <w:bookmarkStart w:id="21" w:name="_Toc201743102"/>
      <w:bookmarkStart w:id="22" w:name="_Toc201742847"/>
      <w:bookmarkStart w:id="23" w:name="_Toc199215934"/>
      <w:bookmarkStart w:id="24" w:name="_Toc201719106"/>
      <w:bookmarkStart w:id="25" w:name="_Toc201997930"/>
      <w:bookmarkStart w:id="26" w:name="_Toc201401646"/>
      <w:bookmarkStart w:id="27" w:name="_Toc199213731"/>
      <w:bookmarkStart w:id="28"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4173A629">
      <w:pPr>
        <w:spacing w:after="78"/>
        <w:ind w:firstLine="560"/>
        <w:rPr>
          <w:lang w:eastAsia="zh-Hans"/>
        </w:rPr>
      </w:pPr>
      <w:bookmarkStart w:id="29"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C23BBB8">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28906481">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5F0E3E4B">
      <w:pPr>
        <w:spacing w:after="78"/>
        <w:ind w:firstLine="560"/>
        <w:rPr>
          <w:lang w:eastAsia="zh-Hans"/>
        </w:rPr>
      </w:pPr>
      <w:r>
        <w:rPr>
          <w:lang w:eastAsia="zh-Hans"/>
        </w:rPr>
        <w:t>4.</w:t>
      </w:r>
      <w:r>
        <w:rPr>
          <w:rFonts w:hint="eastAsia"/>
          <w:lang w:eastAsia="zh-Hans"/>
        </w:rPr>
        <w:t>包装标准：</w:t>
      </w:r>
    </w:p>
    <w:p w14:paraId="28199623">
      <w:pPr>
        <w:spacing w:after="78"/>
        <w:ind w:firstLine="560"/>
        <w:rPr>
          <w:lang w:eastAsia="zh-Hans"/>
        </w:rPr>
      </w:pPr>
      <w:r>
        <w:rPr>
          <w:rFonts w:hint="eastAsia"/>
          <w:lang w:eastAsia="zh-Hans"/>
        </w:rPr>
        <w:t>GB/T4892-1996《硬质直方体运输包装尺寸系列》</w:t>
      </w:r>
    </w:p>
    <w:p w14:paraId="38E7BC25">
      <w:pPr>
        <w:spacing w:after="78"/>
        <w:ind w:firstLine="560"/>
        <w:rPr>
          <w:lang w:eastAsia="zh-Hans"/>
        </w:rPr>
      </w:pPr>
      <w:r>
        <w:rPr>
          <w:rFonts w:hint="eastAsia"/>
          <w:lang w:eastAsia="zh-Hans"/>
        </w:rPr>
        <w:t>GB/T13201-91《圆柱体运输包装尺寸系列》</w:t>
      </w:r>
    </w:p>
    <w:p w14:paraId="0D52E1F1">
      <w:pPr>
        <w:spacing w:after="78"/>
        <w:ind w:firstLine="560"/>
        <w:rPr>
          <w:lang w:eastAsia="zh-Hans"/>
        </w:rPr>
      </w:pPr>
      <w:r>
        <w:rPr>
          <w:rFonts w:hint="eastAsia"/>
          <w:lang w:eastAsia="zh-Hans"/>
        </w:rPr>
        <w:t>GB/T 13757-92《袋类运输包装尺寸系列》</w:t>
      </w:r>
    </w:p>
    <w:p w14:paraId="42B6D618">
      <w:pPr>
        <w:spacing w:after="78"/>
        <w:ind w:firstLine="560"/>
        <w:rPr>
          <w:lang w:eastAsia="zh-Hans"/>
        </w:rPr>
      </w:pPr>
      <w:r>
        <w:rPr>
          <w:rFonts w:hint="eastAsia"/>
          <w:lang w:eastAsia="zh-Hans"/>
        </w:rPr>
        <w:t>GB/T16471-1996《运输包装件尺寸界限》</w:t>
      </w:r>
    </w:p>
    <w:p w14:paraId="2F918187">
      <w:pPr>
        <w:spacing w:after="78"/>
        <w:ind w:firstLine="560"/>
        <w:rPr>
          <w:lang w:eastAsia="zh-Hans"/>
        </w:rPr>
      </w:pPr>
      <w:r>
        <w:rPr>
          <w:rFonts w:hint="eastAsia"/>
          <w:lang w:eastAsia="zh-Hans"/>
        </w:rPr>
        <w:t>以上标准，以最新版为准。</w:t>
      </w:r>
    </w:p>
    <w:bookmarkEnd w:id="29"/>
    <w:p w14:paraId="4A0B30BD">
      <w:pPr>
        <w:pStyle w:val="6"/>
        <w:spacing w:before="156" w:beforeLines="50" w:after="156" w:afterLines="50"/>
        <w:ind w:left="1020" w:leftChars="200" w:hanging="600"/>
        <w:jc w:val="left"/>
        <w:rPr>
          <w:rFonts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1"/>
      <w:bookmarkEnd w:id="22"/>
      <w:bookmarkEnd w:id="23"/>
      <w:bookmarkEnd w:id="24"/>
      <w:bookmarkEnd w:id="25"/>
      <w:bookmarkEnd w:id="26"/>
      <w:bookmarkEnd w:id="27"/>
      <w:bookmarkEnd w:id="28"/>
    </w:p>
    <w:p w14:paraId="233C7A8C">
      <w:pPr>
        <w:spacing w:after="78"/>
        <w:ind w:firstLine="560"/>
      </w:pPr>
      <w:r>
        <w:rPr>
          <w:rFonts w:hint="eastAsia"/>
        </w:rPr>
        <w:t>1.交货方式：现场交货。</w:t>
      </w:r>
    </w:p>
    <w:p w14:paraId="5084D9FB">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2D74CB9">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0" w:name="_Hlk114044349"/>
      <w:r>
        <w:rPr>
          <w:rFonts w:hint="eastAsia"/>
          <w:bCs/>
        </w:rPr>
        <w:t>合同签订之日起</w:t>
      </w:r>
      <w:r>
        <w:rPr>
          <w:rFonts w:hint="eastAsia"/>
          <w:bCs/>
          <w:u w:val="single"/>
        </w:rPr>
        <w:t xml:space="preserve"> </w:t>
      </w:r>
      <w:r>
        <w:rPr>
          <w:rFonts w:hint="eastAsia"/>
          <w:bCs/>
          <w:u w:val="single"/>
          <w:lang w:val="en-US" w:eastAsia="zh-CN"/>
        </w:rPr>
        <w:t>30</w:t>
      </w:r>
      <w:r>
        <w:rPr>
          <w:rFonts w:hint="eastAsia"/>
          <w:bCs/>
          <w:u w:val="single"/>
        </w:rPr>
        <w:t xml:space="preserve"> </w:t>
      </w:r>
      <w:r>
        <w:rPr>
          <w:rFonts w:hint="eastAsia"/>
          <w:bCs/>
        </w:rPr>
        <w:t>日内。</w:t>
      </w:r>
    </w:p>
    <w:bookmarkEnd w:id="30"/>
    <w:p w14:paraId="2F4848D9">
      <w:pPr>
        <w:spacing w:after="78"/>
        <w:ind w:firstLine="560"/>
      </w:pPr>
      <w:r>
        <w:rPr>
          <w:rFonts w:hint="eastAsia"/>
        </w:rPr>
        <w:t>2.运输方式：</w:t>
      </w:r>
      <w:r>
        <w:rPr>
          <w:rFonts w:hint="eastAsia"/>
          <w:lang w:eastAsia="zh-Hans"/>
        </w:rPr>
        <w:t>由乙方负责安排</w:t>
      </w:r>
      <w:r>
        <w:rPr>
          <w:rFonts w:hint="eastAsia"/>
        </w:rPr>
        <w:t>。</w:t>
      </w:r>
    </w:p>
    <w:p w14:paraId="0AF49DC4">
      <w:pPr>
        <w:spacing w:after="78"/>
        <w:ind w:firstLine="560"/>
      </w:pPr>
      <w:r>
        <w:rPr>
          <w:rFonts w:hint="eastAsia"/>
        </w:rPr>
        <w:t>3.交货地点：甲方指定地点。</w:t>
      </w:r>
    </w:p>
    <w:p w14:paraId="70D2A245">
      <w:pPr>
        <w:spacing w:after="78"/>
        <w:ind w:firstLine="560"/>
        <w:rPr>
          <w:lang w:eastAsia="zh-Hans"/>
        </w:rPr>
      </w:pPr>
      <w:r>
        <w:rPr>
          <w:rFonts w:hint="eastAsia"/>
        </w:rPr>
        <w:t>4.货物</w:t>
      </w:r>
      <w:r>
        <w:rPr>
          <w:rFonts w:hint="eastAsia"/>
          <w:lang w:eastAsia="zh-Hans"/>
        </w:rPr>
        <w:t>交付给甲方前，毁损、灭失的风险，由乙方承担。</w:t>
      </w:r>
    </w:p>
    <w:p w14:paraId="6BD73E0D">
      <w:pPr>
        <w:pStyle w:val="6"/>
        <w:spacing w:before="156" w:beforeLines="50" w:after="156" w:afterLines="50"/>
        <w:ind w:left="1020" w:leftChars="200" w:hanging="600"/>
        <w:jc w:val="left"/>
        <w:rPr>
          <w:rFonts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78E8A345">
      <w:pPr>
        <w:spacing w:after="78"/>
        <w:ind w:firstLine="560"/>
      </w:pPr>
      <w:bookmarkStart w:id="31"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13C1598F">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3E6B4082">
      <w:pPr>
        <w:spacing w:after="78"/>
        <w:ind w:firstLine="560"/>
      </w:pPr>
      <w:r>
        <w:rPr>
          <w:rFonts w:hint="eastAsia"/>
        </w:rPr>
        <w:t>3.验收数量按现场实际供货量结算，乙方有义务提供真实的供货数量。供货数量少于通知的数量时，乙方负责将数量不足的部分补齐，并在甲方通知后</w:t>
      </w:r>
      <w:r>
        <w:rPr>
          <w:rFonts w:hint="eastAsia"/>
          <w:lang w:val="en-US" w:eastAsia="zh-CN"/>
        </w:rPr>
        <w:t>5</w:t>
      </w:r>
      <w:r>
        <w:rPr>
          <w:rFonts w:hint="eastAsia"/>
        </w:rPr>
        <w:t>日内到货。</w:t>
      </w:r>
    </w:p>
    <w:p w14:paraId="15AEE97B">
      <w:pPr>
        <w:spacing w:after="78"/>
        <w:ind w:firstLine="560"/>
      </w:pPr>
      <w:r>
        <w:rPr>
          <w:rFonts w:hint="eastAsia"/>
        </w:rPr>
        <w:t>4.如产品质量出现问题经甲乙双方确认需更换后，乙方应随时予以更换，更换货物必须</w:t>
      </w:r>
      <w:r>
        <w:rPr>
          <w:rFonts w:hint="eastAsia"/>
          <w:lang w:val="en-US" w:eastAsia="zh-CN"/>
        </w:rPr>
        <w:t>5</w:t>
      </w:r>
      <w:r>
        <w:rPr>
          <w:rFonts w:hint="eastAsia"/>
        </w:rPr>
        <w:t>日内到货。</w:t>
      </w:r>
    </w:p>
    <w:p w14:paraId="2293D3CE">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1"/>
    </w:p>
    <w:p w14:paraId="0D5689E6">
      <w:pPr>
        <w:pStyle w:val="6"/>
        <w:spacing w:before="156" w:beforeLines="50" w:after="156" w:afterLines="50"/>
        <w:ind w:left="1020" w:leftChars="200" w:hanging="600"/>
        <w:jc w:val="left"/>
        <w:rPr>
          <w:rFonts w:ascii="宋体" w:hAnsi="宋体" w:cs="宋体"/>
          <w:color w:val="000000"/>
          <w:szCs w:val="24"/>
        </w:rPr>
      </w:pPr>
      <w:bookmarkStart w:id="32" w:name="_Toc199215935"/>
      <w:bookmarkStart w:id="33" w:name="_Toc201401647"/>
      <w:bookmarkStart w:id="34" w:name="_Toc201997931"/>
      <w:bookmarkStart w:id="35" w:name="_Toc199213732"/>
      <w:bookmarkStart w:id="36" w:name="_Toc199215767"/>
      <w:bookmarkStart w:id="37" w:name="_Toc201719107"/>
      <w:bookmarkStart w:id="38" w:name="_Toc201743103"/>
      <w:bookmarkStart w:id="39"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6168FB1F">
      <w:pPr>
        <w:spacing w:after="78"/>
        <w:ind w:firstLine="560"/>
      </w:pPr>
      <w:r>
        <w:rPr>
          <w:rFonts w:hint="eastAsia"/>
        </w:rPr>
        <w:t>1.乙方有责任按本合同的要求，按时、保质、保量地提供合同货物和技术资料。</w:t>
      </w:r>
    </w:p>
    <w:p w14:paraId="514BD491">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6D900470">
      <w:pPr>
        <w:spacing w:after="78"/>
        <w:ind w:firstLine="560"/>
        <w:rPr>
          <w:lang w:eastAsia="zh-Hans"/>
        </w:rPr>
      </w:pPr>
      <w:r>
        <w:rPr>
          <w:rFonts w:hint="eastAsia"/>
        </w:rPr>
        <w:t>3.乙方有责任将合同货物在合同约定地点交验。</w:t>
      </w:r>
    </w:p>
    <w:p w14:paraId="6958BEA2">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2562541F">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418D43F7">
      <w:pPr>
        <w:pStyle w:val="6"/>
        <w:spacing w:before="156" w:beforeLines="50" w:after="156" w:afterLines="50"/>
        <w:ind w:left="1020" w:leftChars="200" w:hanging="600"/>
        <w:jc w:val="left"/>
        <w:rPr>
          <w:rFonts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20121C14">
      <w:pPr>
        <w:spacing w:after="78"/>
        <w:ind w:firstLine="560"/>
      </w:pPr>
      <w:r>
        <w:rPr>
          <w:rFonts w:hint="eastAsia"/>
        </w:rPr>
        <w:t>1.在合同履约过程中一方违约时，由其承担给对方造成的相应损失。</w:t>
      </w:r>
    </w:p>
    <w:p w14:paraId="20FE894D">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CC06C1F">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6214FFBA">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31AA4D0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265C4877">
      <w:pPr>
        <w:spacing w:after="78"/>
        <w:ind w:firstLine="560"/>
      </w:pPr>
      <w:r>
        <w:rPr>
          <w:rFonts w:hint="eastAsia"/>
        </w:rPr>
        <w:t>6.按合同规定应赔付的违约金，赔偿及其他经济损失，应当在明确责任后15日内付给对方，否则按逾期付款处理。</w:t>
      </w:r>
    </w:p>
    <w:p w14:paraId="413FACCB">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7FC9ADF5">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02638ABD">
      <w:pPr>
        <w:pStyle w:val="6"/>
        <w:spacing w:before="156" w:beforeLines="50" w:after="156" w:afterLines="50"/>
        <w:ind w:left="1020" w:leftChars="200" w:hanging="600"/>
        <w:jc w:val="left"/>
        <w:rPr>
          <w:rFonts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2"/>
      <w:bookmarkEnd w:id="33"/>
      <w:bookmarkEnd w:id="34"/>
      <w:bookmarkEnd w:id="35"/>
      <w:bookmarkEnd w:id="36"/>
      <w:bookmarkEnd w:id="37"/>
      <w:bookmarkEnd w:id="38"/>
      <w:bookmarkEnd w:id="39"/>
      <w:r>
        <w:rPr>
          <w:rFonts w:hint="eastAsia" w:ascii="宋体" w:hAnsi="宋体" w:cs="宋体"/>
          <w:color w:val="000000"/>
          <w:szCs w:val="24"/>
        </w:rPr>
        <w:t>保密</w:t>
      </w:r>
    </w:p>
    <w:p w14:paraId="6D8CD1CF">
      <w:pPr>
        <w:spacing w:after="78"/>
        <w:ind w:firstLine="560"/>
      </w:pPr>
      <w:bookmarkStart w:id="40" w:name="_Toc201401648"/>
      <w:bookmarkStart w:id="41" w:name="_Toc201742849"/>
      <w:bookmarkStart w:id="42" w:name="_Toc201997932"/>
      <w:bookmarkStart w:id="43" w:name="_Toc201743104"/>
      <w:bookmarkStart w:id="44" w:name="_Toc201719108"/>
      <w:bookmarkStart w:id="45" w:name="_Toc199215936"/>
      <w:bookmarkStart w:id="46" w:name="_Toc199215768"/>
      <w:bookmarkStart w:id="47" w:name="_Toc199213733"/>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1</w:t>
      </w:r>
      <w:r>
        <w:rPr>
          <w:rFonts w:hint="eastAsia"/>
        </w:rPr>
        <w:t>万元。保密期限，自乙方知悉该资料或信息之日起至公众可通过合法途径获得、知悉相关资料、信息之日止。</w:t>
      </w:r>
    </w:p>
    <w:bookmarkEnd w:id="40"/>
    <w:bookmarkEnd w:id="41"/>
    <w:bookmarkEnd w:id="42"/>
    <w:bookmarkEnd w:id="43"/>
    <w:bookmarkEnd w:id="44"/>
    <w:bookmarkEnd w:id="45"/>
    <w:bookmarkEnd w:id="46"/>
    <w:bookmarkEnd w:id="47"/>
    <w:p w14:paraId="2863D876">
      <w:pPr>
        <w:pStyle w:val="6"/>
        <w:spacing w:before="156" w:beforeLines="50" w:after="156" w:afterLines="50"/>
        <w:ind w:left="1020" w:leftChars="200" w:hanging="600"/>
        <w:jc w:val="left"/>
        <w:rPr>
          <w:rFonts w:ascii="宋体" w:hAnsi="宋体" w:cs="宋体"/>
          <w:color w:val="000000"/>
          <w:szCs w:val="24"/>
        </w:rPr>
      </w:pPr>
      <w:bookmarkStart w:id="48" w:name="_Toc199213738"/>
      <w:bookmarkStart w:id="49" w:name="_Toc201401653"/>
      <w:bookmarkStart w:id="50" w:name="_Toc201997937"/>
      <w:bookmarkStart w:id="51" w:name="_Toc199215773"/>
      <w:bookmarkStart w:id="52" w:name="_Toc199215941"/>
      <w:bookmarkStart w:id="53" w:name="_Toc201719113"/>
      <w:bookmarkStart w:id="54" w:name="_Toc201742854"/>
      <w:bookmarkStart w:id="55"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48"/>
      <w:bookmarkEnd w:id="49"/>
      <w:bookmarkEnd w:id="50"/>
      <w:bookmarkEnd w:id="51"/>
      <w:bookmarkEnd w:id="52"/>
      <w:bookmarkEnd w:id="53"/>
      <w:bookmarkEnd w:id="54"/>
      <w:bookmarkEnd w:id="55"/>
      <w:r>
        <w:rPr>
          <w:rFonts w:hint="eastAsia" w:ascii="宋体" w:hAnsi="宋体" w:cs="宋体"/>
          <w:color w:val="000000"/>
          <w:szCs w:val="24"/>
        </w:rPr>
        <w:t>质保</w:t>
      </w:r>
    </w:p>
    <w:p w14:paraId="48CE396A">
      <w:pPr>
        <w:spacing w:after="78"/>
        <w:ind w:firstLine="560"/>
      </w:pPr>
      <w:r>
        <w:t>1.</w:t>
      </w:r>
      <w:r>
        <w:rPr>
          <w:rFonts w:hint="eastAsia"/>
        </w:rPr>
        <w:t>保修期：自货到现场之日起，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6C0F623">
      <w:pPr>
        <w:spacing w:after="78"/>
        <w:ind w:firstLine="560"/>
      </w:pPr>
      <w:r>
        <w:t>2.</w:t>
      </w:r>
      <w:r>
        <w:rPr>
          <w:rFonts w:hint="eastAsia"/>
        </w:rPr>
        <w:t>保修期内所发生的因乙方原因引起的货物质量问题和供货问题等，乙方须及时响应解决，直至质量保证期满为止。</w:t>
      </w:r>
    </w:p>
    <w:p w14:paraId="5D95CA8A">
      <w:pPr>
        <w:spacing w:after="78"/>
        <w:ind w:firstLine="560"/>
      </w:pPr>
      <w:r>
        <w:t>3.</w:t>
      </w:r>
      <w:r>
        <w:rPr>
          <w:rFonts w:hint="eastAsia"/>
        </w:rPr>
        <w:t>乙方提供的软件系统，应在保修期内提供免费的上门维修和更新服务，不收取任何费用。</w:t>
      </w:r>
    </w:p>
    <w:p w14:paraId="02C7A57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6F544B22">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39A47167">
      <w:pPr>
        <w:spacing w:after="78"/>
        <w:ind w:firstLine="560"/>
      </w:pPr>
      <w:r>
        <w:t>6.</w:t>
      </w:r>
      <w:r>
        <w:rPr>
          <w:rFonts w:hint="eastAsia"/>
        </w:rPr>
        <w:t>保修期内，所有货物维修服务均为上门服务，由此产生的费用均不再收取。</w:t>
      </w:r>
    </w:p>
    <w:p w14:paraId="727E62C9">
      <w:pPr>
        <w:pStyle w:val="6"/>
        <w:spacing w:before="156" w:beforeLines="50" w:after="156" w:afterLines="50"/>
        <w:ind w:left="1020" w:leftChars="200" w:hanging="600"/>
        <w:jc w:val="left"/>
        <w:rPr>
          <w:rFonts w:ascii="宋体" w:hAnsi="宋体" w:cs="宋体"/>
          <w:color w:val="000000"/>
          <w:szCs w:val="24"/>
        </w:rPr>
      </w:pPr>
      <w:bookmarkStart w:id="56" w:name="_Toc199213740"/>
      <w:bookmarkStart w:id="57" w:name="_Toc201719115"/>
      <w:bookmarkStart w:id="58" w:name="_Toc201997939"/>
      <w:bookmarkStart w:id="59" w:name="_Toc201743111"/>
      <w:bookmarkStart w:id="60" w:name="_Toc201742856"/>
      <w:bookmarkStart w:id="61" w:name="_Toc201401655"/>
      <w:bookmarkStart w:id="62" w:name="_Toc199215775"/>
      <w:bookmarkStart w:id="63"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5A5AE277">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5B297DEA">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3572222B">
      <w:pPr>
        <w:pStyle w:val="6"/>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3A76CB8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1455AB48">
      <w:pPr>
        <w:pStyle w:val="6"/>
        <w:spacing w:before="156" w:beforeLines="50" w:after="156" w:afterLines="50"/>
        <w:ind w:left="1020" w:leftChars="200" w:hanging="6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56"/>
      <w:bookmarkEnd w:id="57"/>
      <w:bookmarkEnd w:id="58"/>
      <w:bookmarkEnd w:id="59"/>
      <w:bookmarkEnd w:id="60"/>
      <w:bookmarkEnd w:id="61"/>
      <w:bookmarkEnd w:id="62"/>
      <w:bookmarkEnd w:id="63"/>
    </w:p>
    <w:p w14:paraId="09C4E13F">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4DC6EDA8">
      <w:pPr>
        <w:spacing w:after="78"/>
        <w:ind w:firstLine="560"/>
      </w:pPr>
      <w:r>
        <w:rPr>
          <w:rFonts w:hint="eastAsia"/>
        </w:rPr>
        <w:t>2.本合同中的附件由《供应商廉洁协议书》组成，均为本合同不可分割的部分，与本合同具有相同的法律效力。</w:t>
      </w:r>
    </w:p>
    <w:p w14:paraId="47932BAA">
      <w:pPr>
        <w:spacing w:after="78"/>
        <w:ind w:firstLine="560"/>
      </w:pPr>
      <w:r>
        <w:rPr>
          <w:rFonts w:hint="eastAsia"/>
        </w:rPr>
        <w:t>3.一方当事人未经另一方书面同意，不得将其合同项下的权利和义务全部或部分转让给第三方。</w:t>
      </w:r>
    </w:p>
    <w:p w14:paraId="3A356C21">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73ED488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2730311">
      <w:pPr>
        <w:spacing w:after="78"/>
        <w:ind w:firstLine="560"/>
        <w:rPr>
          <w:lang w:eastAsia="zh-Hans"/>
        </w:rPr>
      </w:pPr>
    </w:p>
    <w:p w14:paraId="106B19D3">
      <w:pPr>
        <w:spacing w:after="78"/>
        <w:ind w:firstLine="560"/>
        <w:rPr>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60DE925A">
        <w:tblPrEx>
          <w:tblCellMar>
            <w:top w:w="0" w:type="dxa"/>
            <w:left w:w="108" w:type="dxa"/>
            <w:bottom w:w="0" w:type="dxa"/>
            <w:right w:w="108" w:type="dxa"/>
          </w:tblCellMar>
        </w:tblPrEx>
        <w:tc>
          <w:tcPr>
            <w:tcW w:w="4389" w:type="dxa"/>
            <w:shd w:val="clear" w:color="auto" w:fill="auto"/>
          </w:tcPr>
          <w:p w14:paraId="23F0EB4B">
            <w:pPr>
              <w:spacing w:after="78"/>
              <w:ind w:firstLine="560"/>
            </w:pPr>
            <w:r>
              <w:rPr>
                <w:rFonts w:hint="eastAsia"/>
              </w:rPr>
              <w:t>甲方（</w:t>
            </w:r>
            <w:r>
              <w:rPr>
                <w:rFonts w:hint="eastAsia"/>
                <w:lang w:eastAsia="zh-Hans"/>
              </w:rPr>
              <w:t>盖章</w:t>
            </w:r>
            <w:r>
              <w:rPr>
                <w:rFonts w:hint="eastAsia"/>
              </w:rPr>
              <w:t>）：</w:t>
            </w:r>
          </w:p>
          <w:p w14:paraId="5A3F30F6">
            <w:pPr>
              <w:spacing w:after="78"/>
              <w:ind w:firstLine="560"/>
            </w:pPr>
          </w:p>
        </w:tc>
        <w:tc>
          <w:tcPr>
            <w:tcW w:w="4389" w:type="dxa"/>
            <w:shd w:val="clear" w:color="auto" w:fill="auto"/>
          </w:tcPr>
          <w:p w14:paraId="046148BD">
            <w:pPr>
              <w:spacing w:after="78"/>
              <w:ind w:firstLine="560"/>
            </w:pPr>
            <w:r>
              <w:rPr>
                <w:rFonts w:hint="eastAsia"/>
              </w:rPr>
              <w:t>乙方（</w:t>
            </w:r>
            <w:r>
              <w:rPr>
                <w:rFonts w:hint="eastAsia"/>
                <w:lang w:eastAsia="zh-Hans"/>
              </w:rPr>
              <w:t>盖章</w:t>
            </w:r>
            <w:r>
              <w:rPr>
                <w:rFonts w:hint="eastAsia"/>
              </w:rPr>
              <w:t>）：</w:t>
            </w:r>
          </w:p>
          <w:p w14:paraId="1E73B8BC">
            <w:pPr>
              <w:spacing w:after="78"/>
              <w:ind w:firstLine="560"/>
            </w:pPr>
          </w:p>
        </w:tc>
      </w:tr>
      <w:tr w14:paraId="07EC0393">
        <w:tblPrEx>
          <w:tblCellMar>
            <w:top w:w="0" w:type="dxa"/>
            <w:left w:w="108" w:type="dxa"/>
            <w:bottom w:w="0" w:type="dxa"/>
            <w:right w:w="108" w:type="dxa"/>
          </w:tblCellMar>
        </w:tblPrEx>
        <w:tc>
          <w:tcPr>
            <w:tcW w:w="4389" w:type="dxa"/>
            <w:shd w:val="clear" w:color="auto" w:fill="auto"/>
          </w:tcPr>
          <w:p w14:paraId="65845FF1">
            <w:pPr>
              <w:spacing w:after="78"/>
              <w:ind w:firstLine="560"/>
            </w:pPr>
            <w:r>
              <w:rPr>
                <w:rFonts w:hint="eastAsia"/>
              </w:rPr>
              <w:t>法定代表人</w:t>
            </w:r>
          </w:p>
          <w:p w14:paraId="6591781A">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54C55B73">
            <w:pPr>
              <w:spacing w:after="78"/>
              <w:ind w:firstLine="560"/>
            </w:pPr>
            <w:r>
              <w:rPr>
                <w:rFonts w:hint="eastAsia"/>
              </w:rPr>
              <w:t>法定代表人</w:t>
            </w:r>
          </w:p>
          <w:p w14:paraId="1E888181">
            <w:pPr>
              <w:spacing w:after="78"/>
              <w:ind w:firstLine="560"/>
            </w:pPr>
            <w:r>
              <w:rPr>
                <w:rFonts w:hint="eastAsia"/>
              </w:rPr>
              <w:t>或授权</w:t>
            </w:r>
            <w:r>
              <w:rPr>
                <w:rFonts w:hint="eastAsia"/>
                <w:lang w:eastAsia="zh-Hans"/>
              </w:rPr>
              <w:t>代表</w:t>
            </w:r>
            <w:r>
              <w:rPr>
                <w:rFonts w:hint="eastAsia"/>
              </w:rPr>
              <w:t>(签字)：</w:t>
            </w:r>
          </w:p>
        </w:tc>
      </w:tr>
      <w:tr w14:paraId="7C476852">
        <w:tblPrEx>
          <w:tblCellMar>
            <w:top w:w="0" w:type="dxa"/>
            <w:left w:w="108" w:type="dxa"/>
            <w:bottom w:w="0" w:type="dxa"/>
            <w:right w:w="108" w:type="dxa"/>
          </w:tblCellMar>
        </w:tblPrEx>
        <w:tc>
          <w:tcPr>
            <w:tcW w:w="4389" w:type="dxa"/>
            <w:shd w:val="clear" w:color="auto" w:fill="auto"/>
          </w:tcPr>
          <w:p w14:paraId="5AF138BF">
            <w:pPr>
              <w:spacing w:after="78"/>
              <w:ind w:firstLine="560"/>
            </w:pPr>
          </w:p>
        </w:tc>
        <w:tc>
          <w:tcPr>
            <w:tcW w:w="4389" w:type="dxa"/>
            <w:shd w:val="clear" w:color="auto" w:fill="auto"/>
          </w:tcPr>
          <w:p w14:paraId="6DFEA84C">
            <w:pPr>
              <w:spacing w:after="78"/>
              <w:ind w:firstLine="560"/>
            </w:pPr>
          </w:p>
        </w:tc>
      </w:tr>
      <w:tr w14:paraId="08E0306D">
        <w:tblPrEx>
          <w:tblCellMar>
            <w:top w:w="0" w:type="dxa"/>
            <w:left w:w="108" w:type="dxa"/>
            <w:bottom w:w="0" w:type="dxa"/>
            <w:right w:w="108" w:type="dxa"/>
          </w:tblCellMar>
        </w:tblPrEx>
        <w:tc>
          <w:tcPr>
            <w:tcW w:w="4389" w:type="dxa"/>
            <w:shd w:val="clear" w:color="auto" w:fill="auto"/>
          </w:tcPr>
          <w:p w14:paraId="37CFF8E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12195171">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37555670">
      <w:pPr>
        <w:pStyle w:val="69"/>
        <w:spacing w:after="78"/>
        <w:ind w:firstLine="480"/>
      </w:pPr>
      <w:bookmarkStart w:id="64" w:name="_Toc416353562"/>
    </w:p>
    <w:p w14:paraId="51AC87E2">
      <w:pPr>
        <w:pStyle w:val="69"/>
        <w:spacing w:after="78"/>
        <w:ind w:firstLine="480"/>
        <w:rPr>
          <w:rFonts w:ascii="黑体" w:eastAsia="黑体"/>
          <w:b/>
          <w:color w:val="000000"/>
          <w:sz w:val="30"/>
          <w:szCs w:val="30"/>
        </w:rPr>
      </w:pPr>
      <w:r>
        <w:br w:type="page"/>
      </w:r>
      <w:bookmarkEnd w:id="64"/>
      <w:bookmarkStart w:id="65" w:name="_Hlk111222939"/>
    </w:p>
    <w:p w14:paraId="51FF38A6">
      <w:pPr>
        <w:pStyle w:val="69"/>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10C614E8">
      <w:pPr>
        <w:spacing w:after="78"/>
        <w:ind w:firstLine="723"/>
        <w:jc w:val="center"/>
        <w:rPr>
          <w:rFonts w:ascii="宋体" w:hAnsi="宋体"/>
          <w:b/>
          <w:sz w:val="36"/>
          <w:szCs w:val="36"/>
        </w:rPr>
      </w:pPr>
    </w:p>
    <w:p w14:paraId="04A5CC3E">
      <w:pPr>
        <w:spacing w:after="78"/>
        <w:ind w:firstLine="723"/>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E00A8E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D80A910">
      <w:pPr>
        <w:spacing w:after="78"/>
        <w:ind w:firstLine="560"/>
      </w:pPr>
      <w:r>
        <w:rPr>
          <w:rFonts w:hint="eastAsia"/>
        </w:rPr>
        <w:t>一、严禁甲方人员有以下行为：</w:t>
      </w:r>
    </w:p>
    <w:p w14:paraId="3E0BDEA0">
      <w:pPr>
        <w:spacing w:after="78"/>
        <w:ind w:firstLine="560"/>
      </w:pPr>
      <w:r>
        <w:t>1.</w:t>
      </w:r>
      <w:r>
        <w:rPr>
          <w:rFonts w:hint="eastAsia"/>
        </w:rPr>
        <w:t>利用职务便利在经营活动中谋取个人私利，损害甲方利益；</w:t>
      </w:r>
    </w:p>
    <w:p w14:paraId="789B11D2">
      <w:pPr>
        <w:spacing w:after="78"/>
        <w:ind w:firstLine="560"/>
      </w:pPr>
      <w:r>
        <w:t>2.</w:t>
      </w:r>
      <w:r>
        <w:rPr>
          <w:rFonts w:hint="eastAsia"/>
        </w:rPr>
        <w:t>在经济活动中索取、收受财物。</w:t>
      </w:r>
    </w:p>
    <w:p w14:paraId="10E3ED58">
      <w:pPr>
        <w:spacing w:after="78"/>
        <w:ind w:firstLine="560"/>
      </w:pPr>
      <w:r>
        <w:rPr>
          <w:rFonts w:hint="eastAsia"/>
        </w:rPr>
        <w:t>二、乙方不可以有以下行为：</w:t>
      </w:r>
    </w:p>
    <w:p w14:paraId="0E8F6AC4">
      <w:pPr>
        <w:spacing w:after="78"/>
        <w:ind w:firstLine="560"/>
      </w:pPr>
      <w:r>
        <w:t>1.</w:t>
      </w:r>
      <w:r>
        <w:rPr>
          <w:rFonts w:hint="eastAsia"/>
        </w:rPr>
        <w:t>向甲方人员行贿或变相行贿；</w:t>
      </w:r>
    </w:p>
    <w:p w14:paraId="719AB79C">
      <w:pPr>
        <w:spacing w:after="78"/>
        <w:ind w:firstLine="560"/>
      </w:pPr>
      <w:r>
        <w:t>2.</w:t>
      </w:r>
      <w:r>
        <w:rPr>
          <w:rFonts w:hint="eastAsia"/>
        </w:rPr>
        <w:t>向甲方人员赠送现金、购物卡、贵重礼品等</w:t>
      </w:r>
      <w:r>
        <w:rPr>
          <w:rFonts w:hint="eastAsia"/>
          <w:lang w:eastAsia="zh-Hans"/>
        </w:rPr>
        <w:t>。</w:t>
      </w:r>
    </w:p>
    <w:p w14:paraId="30864767">
      <w:pPr>
        <w:spacing w:after="78"/>
        <w:ind w:firstLine="560"/>
      </w:pPr>
      <w:r>
        <w:rPr>
          <w:rFonts w:hint="eastAsia"/>
        </w:rPr>
        <w:t>以上规定的执行希望得到甲乙双方的支持和配合，若甲方人员有违反上述规定的行为，乙方须告知甲方，甲方将严肃处理，绝不姑息。</w:t>
      </w:r>
    </w:p>
    <w:p w14:paraId="244C4C59">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E668D09">
      <w:pPr>
        <w:spacing w:after="78"/>
        <w:ind w:firstLine="560"/>
        <w:rPr>
          <w:rFonts w:hint="eastAsia"/>
        </w:rPr>
      </w:pPr>
      <w:r>
        <w:rPr>
          <w:rFonts w:hint="eastAsia"/>
        </w:rPr>
        <w:t>为了互惠互利的长期发展关系，敬请互相配合。</w:t>
      </w:r>
    </w:p>
    <w:p w14:paraId="4CC706EA">
      <w:pPr>
        <w:pStyle w:val="2"/>
        <w:rPr>
          <w:rFonts w:hint="eastAsia"/>
        </w:rPr>
      </w:pPr>
    </w:p>
    <w:p w14:paraId="4492251B">
      <w:pPr>
        <w:pStyle w:val="3"/>
      </w:pPr>
    </w:p>
    <w:p w14:paraId="212DF883">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458BF120">
      <w:pPr>
        <w:widowControl/>
        <w:spacing w:after="78" w:line="640" w:lineRule="exact"/>
        <w:jc w:val="left"/>
      </w:pPr>
      <w:r>
        <w:t xml:space="preserve">     年     月   日                     年     月   日</w:t>
      </w:r>
      <w:bookmarkEnd w:id="65"/>
    </w:p>
    <w:p w14:paraId="4852FB1E">
      <w:pPr>
        <w:widowControl/>
        <w:spacing w:after="78" w:line="640" w:lineRule="exact"/>
        <w:jc w:val="left"/>
      </w:pPr>
    </w:p>
    <w:p w14:paraId="51486BA3">
      <w:pPr>
        <w:widowControl/>
        <w:spacing w:after="78" w:line="640" w:lineRule="exact"/>
        <w:jc w:val="left"/>
      </w:pPr>
    </w:p>
    <w:p w14:paraId="186A3086">
      <w:pPr>
        <w:spacing w:after="78"/>
      </w:pPr>
      <w:r>
        <w:br w:type="page"/>
      </w:r>
    </w:p>
    <w:p w14:paraId="3B542EF9">
      <w:pPr>
        <w:pStyle w:val="4"/>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rPr>
            </w:pPr>
          </w:p>
        </w:tc>
        <w:tc>
          <w:tcPr>
            <w:tcW w:w="85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rPr>
            </w:pPr>
          </w:p>
        </w:tc>
      </w:tr>
    </w:tbl>
    <w:p w14:paraId="75865515">
      <w:pPr>
        <w:tabs>
          <w:tab w:val="left" w:pos="630"/>
        </w:tabs>
        <w:spacing w:after="78" w:line="276" w:lineRule="auto"/>
        <w:rPr>
          <w:rFonts w:ascii="仿宋" w:hAnsi="仿宋" w:eastAsia="仿宋"/>
          <w:color w:val="000000"/>
          <w:kern w:val="0"/>
          <w:szCs w:val="21"/>
        </w:rPr>
      </w:pPr>
      <w:r>
        <w:rPr>
          <w:rFonts w:hint="eastAsia" w:ascii="仿宋" w:hAnsi="仿宋" w:eastAsia="仿宋"/>
          <w:color w:val="000000"/>
          <w:kern w:val="0"/>
          <w:szCs w:val="21"/>
        </w:rPr>
        <w:t>附营业执照</w:t>
      </w:r>
    </w:p>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1CCBFEEC">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水务咨询</w:t>
      </w:r>
      <w:r>
        <w:rPr>
          <w:rFonts w:hint="eastAsia" w:ascii="仿宋" w:hAnsi="仿宋" w:eastAsia="仿宋"/>
          <w:color w:val="000000"/>
          <w:kern w:val="0"/>
          <w:szCs w:val="21"/>
        </w:rPr>
        <w:t>有限公司</w:t>
      </w:r>
      <w:r>
        <w:rPr>
          <w:rFonts w:ascii="仿宋" w:hAnsi="仿宋" w:eastAsia="仿宋"/>
          <w:color w:val="000000"/>
          <w:szCs w:val="21"/>
        </w:rPr>
        <w:t>：</w:t>
      </w:r>
    </w:p>
    <w:p w14:paraId="2F81F656">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val="en-US" w:eastAsia="zh-CN"/>
        </w:rPr>
        <w:t>潜污泵</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val="en-US" w:eastAsia="zh-CN"/>
        </w:rPr>
        <w:t>潜污泵</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4"/>
        <w:numPr>
          <w:ilvl w:val="0"/>
          <w:numId w:val="5"/>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4"/>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6761C2AA">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6B09F8B0">
      <w:pPr>
        <w:tabs>
          <w:tab w:val="left" w:pos="7665"/>
        </w:tabs>
        <w:spacing w:after="78" w:line="276" w:lineRule="auto"/>
        <w:ind w:firstLine="420" w:firstLineChars="200"/>
        <w:rPr>
          <w:rFonts w:ascii="仿宋" w:hAnsi="仿宋" w:eastAsia="仿宋"/>
          <w:szCs w:val="21"/>
        </w:rPr>
      </w:pPr>
      <w:bookmarkStart w:id="66"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4BAE456E">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5A198C10">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7</w:t>
      </w:r>
      <w:r>
        <w:rPr>
          <w:rFonts w:hint="eastAsia" w:ascii="仿宋" w:hAnsi="仿宋" w:eastAsia="仿宋"/>
          <w:szCs w:val="21"/>
        </w:rPr>
        <w:t>月至今）或成立至今（成立不足两年的单位）至少具备一项正在实施或已完成的类似业绩；</w:t>
      </w:r>
    </w:p>
    <w:p w14:paraId="719781B1">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66"/>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潜污泵</w:t>
      </w:r>
      <w:r>
        <w:rPr>
          <w:rFonts w:hint="eastAsia" w:ascii="仿宋" w:hAnsi="仿宋" w:eastAsia="仿宋"/>
          <w:bCs/>
          <w:color w:val="000000"/>
          <w:szCs w:val="21"/>
          <w:u w:val="single"/>
        </w:rPr>
        <w:t>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A1ECE83">
      <w:pPr>
        <w:tabs>
          <w:tab w:val="left" w:pos="1110"/>
        </w:tabs>
        <w:spacing w:after="78" w:line="276" w:lineRule="auto"/>
        <w:ind w:firstLine="420" w:firstLineChars="200"/>
        <w:rPr>
          <w:rFonts w:ascii="仿宋" w:hAnsi="仿宋" w:eastAsia="仿宋"/>
          <w:color w:val="000000"/>
          <w:szCs w:val="21"/>
        </w:rPr>
      </w:pPr>
    </w:p>
    <w:p w14:paraId="061BF2A7">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5AE0C46">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572E944">
      <w:pPr>
        <w:spacing w:after="78" w:line="288" w:lineRule="auto"/>
        <w:rPr>
          <w:rFonts w:ascii="仿宋" w:hAnsi="仿宋" w:eastAsia="仿宋"/>
          <w:b/>
          <w:szCs w:val="21"/>
        </w:rPr>
      </w:pPr>
    </w:p>
    <w:p w14:paraId="6ABCCF38">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b/>
          <w:szCs w:val="21"/>
        </w:rPr>
        <w:br w:type="page"/>
      </w:r>
      <w:bookmarkStart w:id="67"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p w14:paraId="3F9226A5">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64E1599C">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B2391A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0B2391A3">
                      <w:pPr>
                        <w:spacing w:after="78"/>
                      </w:pPr>
                    </w:p>
                  </w:txbxContent>
                </v:textbox>
              </v:shape>
            </w:pict>
          </mc:Fallback>
        </mc:AlternateContent>
      </w:r>
    </w:p>
    <w:p w14:paraId="3437B56D">
      <w:pPr>
        <w:tabs>
          <w:tab w:val="left" w:pos="1110"/>
        </w:tabs>
        <w:spacing w:after="78" w:line="276" w:lineRule="auto"/>
        <w:rPr>
          <w:rFonts w:hint="eastAsia" w:ascii="仿宋" w:hAnsi="仿宋" w:eastAsia="仿宋" w:cs="宋体"/>
          <w:color w:val="000000"/>
          <w:sz w:val="24"/>
          <w:szCs w:val="21"/>
        </w:rPr>
      </w:pPr>
    </w:p>
    <w:p w14:paraId="5837E4D2">
      <w:pPr>
        <w:tabs>
          <w:tab w:val="left" w:pos="1110"/>
        </w:tabs>
        <w:spacing w:after="78" w:line="276" w:lineRule="auto"/>
        <w:rPr>
          <w:rFonts w:hint="eastAsia" w:ascii="仿宋" w:hAnsi="仿宋" w:eastAsia="仿宋" w:cs="宋体"/>
          <w:color w:val="000000"/>
          <w:sz w:val="24"/>
          <w:szCs w:val="21"/>
        </w:rPr>
      </w:pPr>
    </w:p>
    <w:p w14:paraId="73523E67">
      <w:pPr>
        <w:tabs>
          <w:tab w:val="left" w:pos="1110"/>
        </w:tabs>
        <w:spacing w:after="78" w:line="276" w:lineRule="auto"/>
        <w:rPr>
          <w:rFonts w:hint="eastAsia" w:ascii="仿宋" w:hAnsi="仿宋" w:eastAsia="仿宋" w:cs="宋体"/>
          <w:color w:val="000000"/>
          <w:sz w:val="24"/>
          <w:szCs w:val="21"/>
        </w:rPr>
      </w:pPr>
    </w:p>
    <w:p w14:paraId="3530E7C2">
      <w:pPr>
        <w:tabs>
          <w:tab w:val="left" w:pos="1110"/>
        </w:tabs>
        <w:spacing w:after="78" w:line="276" w:lineRule="auto"/>
        <w:rPr>
          <w:rFonts w:hint="eastAsia" w:ascii="仿宋" w:hAnsi="仿宋" w:eastAsia="仿宋" w:cs="宋体"/>
          <w:color w:val="000000"/>
          <w:sz w:val="24"/>
          <w:szCs w:val="21"/>
        </w:rPr>
      </w:pPr>
    </w:p>
    <w:p w14:paraId="3037DE83">
      <w:pPr>
        <w:tabs>
          <w:tab w:val="left" w:pos="1110"/>
        </w:tabs>
        <w:spacing w:after="78" w:line="276" w:lineRule="auto"/>
      </w:pPr>
    </w:p>
    <w:p w14:paraId="6A6003AE">
      <w:pPr>
        <w:tabs>
          <w:tab w:val="left" w:pos="1110"/>
        </w:tabs>
        <w:spacing w:after="78" w:line="276" w:lineRule="auto"/>
        <w:rPr>
          <w:rFonts w:hint="eastAsia" w:ascii="仿宋" w:hAnsi="仿宋" w:eastAsia="仿宋" w:cs="宋体"/>
          <w:color w:val="000000"/>
          <w:sz w:val="24"/>
          <w:szCs w:val="21"/>
        </w:rPr>
      </w:pPr>
    </w:p>
    <w:p w14:paraId="007A1DFB">
      <w:pPr>
        <w:tabs>
          <w:tab w:val="left" w:pos="1110"/>
        </w:tabs>
        <w:spacing w:after="78" w:line="276" w:lineRule="auto"/>
        <w:rPr>
          <w:rFonts w:hint="eastAsia" w:ascii="仿宋" w:hAnsi="仿宋" w:eastAsia="仿宋" w:cs="宋体"/>
          <w:color w:val="000000"/>
          <w:sz w:val="24"/>
          <w:szCs w:val="21"/>
        </w:rPr>
      </w:pPr>
    </w:p>
    <w:p w14:paraId="67DCCBA5">
      <w:pPr>
        <w:tabs>
          <w:tab w:val="left" w:pos="1110"/>
        </w:tabs>
        <w:spacing w:after="78" w:line="276" w:lineRule="auto"/>
        <w:rPr>
          <w:rFonts w:hint="eastAsia" w:ascii="仿宋" w:hAnsi="仿宋" w:eastAsia="仿宋" w:cs="宋体"/>
          <w:color w:val="000000"/>
          <w:sz w:val="24"/>
          <w:szCs w:val="21"/>
        </w:rPr>
      </w:pPr>
    </w:p>
    <w:p w14:paraId="1C7D7241">
      <w:pPr>
        <w:tabs>
          <w:tab w:val="left" w:pos="1110"/>
        </w:tabs>
        <w:spacing w:after="78" w:line="276" w:lineRule="auto"/>
        <w:rPr>
          <w:rFonts w:hint="eastAsia" w:ascii="仿宋" w:hAnsi="仿宋" w:eastAsia="仿宋" w:cs="宋体"/>
          <w:color w:val="000000"/>
          <w:sz w:val="24"/>
          <w:szCs w:val="21"/>
        </w:rPr>
      </w:pPr>
    </w:p>
    <w:p w14:paraId="1394E97A">
      <w:pPr>
        <w:tabs>
          <w:tab w:val="left" w:pos="1110"/>
        </w:tabs>
        <w:spacing w:after="78" w:line="276" w:lineRule="auto"/>
        <w:rPr>
          <w:rFonts w:hint="eastAsia" w:ascii="仿宋" w:hAnsi="仿宋" w:eastAsia="仿宋" w:cs="宋体"/>
          <w:color w:val="000000"/>
          <w:sz w:val="24"/>
          <w:szCs w:val="21"/>
        </w:rPr>
      </w:pPr>
    </w:p>
    <w:p w14:paraId="52CDBA32">
      <w:pPr>
        <w:tabs>
          <w:tab w:val="left" w:pos="1110"/>
        </w:tabs>
        <w:spacing w:after="78" w:line="276" w:lineRule="auto"/>
        <w:rPr>
          <w:rFonts w:hint="eastAsia" w:ascii="仿宋" w:hAnsi="仿宋" w:eastAsia="仿宋" w:cs="宋体"/>
          <w:color w:val="000000"/>
          <w:sz w:val="24"/>
          <w:szCs w:val="21"/>
        </w:rPr>
      </w:pPr>
    </w:p>
    <w:p w14:paraId="396CF7F1">
      <w:pPr>
        <w:tabs>
          <w:tab w:val="left" w:pos="1110"/>
        </w:tabs>
        <w:spacing w:after="78" w:line="276" w:lineRule="auto"/>
        <w:rPr>
          <w:rFonts w:hint="eastAsia" w:ascii="仿宋" w:hAnsi="仿宋" w:eastAsia="仿宋" w:cs="宋体"/>
          <w:color w:val="000000"/>
          <w:sz w:val="24"/>
          <w:szCs w:val="21"/>
        </w:rPr>
      </w:pPr>
    </w:p>
    <w:p w14:paraId="2470A1FC">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1002F453">
      <w:pPr>
        <w:tabs>
          <w:tab w:val="left" w:pos="1110"/>
        </w:tabs>
        <w:spacing w:after="78" w:line="276" w:lineRule="auto"/>
        <w:ind w:firstLine="480" w:firstLineChars="200"/>
        <w:rPr>
          <w:rFonts w:hint="eastAsia" w:ascii="仿宋" w:hAnsi="仿宋" w:eastAsia="仿宋" w:cs="宋体"/>
          <w:color w:val="000000"/>
          <w:sz w:val="24"/>
          <w:szCs w:val="21"/>
        </w:rPr>
      </w:pPr>
    </w:p>
    <w:p w14:paraId="5C63DB5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E96C72B">
                            <w:pPr>
                              <w:spacing w:after="78"/>
                            </w:pPr>
                          </w:p>
                          <w:p w14:paraId="2963BC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6E96C72B">
                      <w:pPr>
                        <w:spacing w:after="78"/>
                      </w:pPr>
                    </w:p>
                    <w:p w14:paraId="2963BC3A">
                      <w:pPr>
                        <w:spacing w:after="78"/>
                      </w:pPr>
                    </w:p>
                  </w:txbxContent>
                </v:textbox>
              </v:shape>
            </w:pict>
          </mc:Fallback>
        </mc:AlternateContent>
      </w:r>
    </w:p>
    <w:p w14:paraId="7DE23B25">
      <w:pPr>
        <w:tabs>
          <w:tab w:val="left" w:pos="1110"/>
        </w:tabs>
        <w:spacing w:after="78" w:line="276" w:lineRule="auto"/>
        <w:ind w:firstLine="480" w:firstLineChars="200"/>
        <w:rPr>
          <w:rFonts w:hint="eastAsia" w:ascii="仿宋" w:hAnsi="仿宋" w:eastAsia="仿宋" w:cs="宋体"/>
          <w:color w:val="000000"/>
          <w:sz w:val="24"/>
          <w:szCs w:val="21"/>
        </w:rPr>
      </w:pPr>
    </w:p>
    <w:p w14:paraId="6B03F087">
      <w:pPr>
        <w:tabs>
          <w:tab w:val="left" w:pos="1110"/>
        </w:tabs>
        <w:spacing w:after="78" w:line="276" w:lineRule="auto"/>
        <w:ind w:firstLine="480" w:firstLineChars="200"/>
        <w:rPr>
          <w:rFonts w:hint="eastAsia" w:ascii="仿宋" w:hAnsi="仿宋" w:eastAsia="仿宋" w:cs="宋体"/>
          <w:color w:val="000000"/>
          <w:sz w:val="24"/>
          <w:szCs w:val="21"/>
        </w:rPr>
      </w:pPr>
    </w:p>
    <w:p w14:paraId="112F4F13">
      <w:pPr>
        <w:tabs>
          <w:tab w:val="left" w:pos="1110"/>
        </w:tabs>
        <w:spacing w:after="78" w:line="276" w:lineRule="auto"/>
        <w:ind w:firstLine="480" w:firstLineChars="200"/>
        <w:rPr>
          <w:rFonts w:hint="eastAsia" w:ascii="仿宋" w:hAnsi="仿宋" w:eastAsia="仿宋" w:cs="宋体"/>
          <w:color w:val="000000"/>
          <w:sz w:val="24"/>
          <w:szCs w:val="21"/>
        </w:rPr>
      </w:pPr>
    </w:p>
    <w:p w14:paraId="5EF95242">
      <w:pPr>
        <w:tabs>
          <w:tab w:val="left" w:pos="1110"/>
        </w:tabs>
        <w:spacing w:after="78" w:line="276" w:lineRule="auto"/>
        <w:ind w:firstLine="480" w:firstLineChars="200"/>
        <w:rPr>
          <w:rFonts w:hint="eastAsia" w:ascii="仿宋" w:hAnsi="仿宋" w:eastAsia="仿宋" w:cs="宋体"/>
          <w:color w:val="000000"/>
          <w:sz w:val="24"/>
          <w:szCs w:val="21"/>
        </w:rPr>
      </w:pPr>
    </w:p>
    <w:p w14:paraId="1DD59D53">
      <w:pPr>
        <w:tabs>
          <w:tab w:val="left" w:pos="1110"/>
        </w:tabs>
        <w:spacing w:after="78" w:line="276" w:lineRule="auto"/>
        <w:ind w:firstLine="480" w:firstLineChars="200"/>
        <w:rPr>
          <w:rFonts w:hint="eastAsia" w:ascii="仿宋" w:hAnsi="仿宋" w:eastAsia="仿宋" w:cs="宋体"/>
          <w:color w:val="000000"/>
          <w:sz w:val="24"/>
          <w:szCs w:val="21"/>
        </w:rPr>
      </w:pPr>
    </w:p>
    <w:p w14:paraId="2701297C">
      <w:pPr>
        <w:tabs>
          <w:tab w:val="left" w:pos="1110"/>
        </w:tabs>
        <w:spacing w:after="78" w:line="276" w:lineRule="auto"/>
        <w:ind w:firstLine="480" w:firstLineChars="200"/>
        <w:rPr>
          <w:rFonts w:hint="eastAsia" w:ascii="仿宋" w:hAnsi="仿宋" w:eastAsia="仿宋" w:cs="宋体"/>
          <w:color w:val="000000"/>
          <w:sz w:val="24"/>
          <w:szCs w:val="21"/>
        </w:rPr>
      </w:pPr>
    </w:p>
    <w:p w14:paraId="72A13397">
      <w:pPr>
        <w:tabs>
          <w:tab w:val="left" w:pos="1110"/>
        </w:tabs>
        <w:spacing w:after="78" w:line="276" w:lineRule="auto"/>
        <w:ind w:firstLine="480" w:firstLineChars="200"/>
        <w:rPr>
          <w:rFonts w:hint="eastAsia" w:ascii="仿宋" w:hAnsi="仿宋" w:eastAsia="仿宋" w:cs="宋体"/>
          <w:color w:val="000000"/>
          <w:sz w:val="24"/>
          <w:szCs w:val="21"/>
        </w:rPr>
      </w:pPr>
    </w:p>
    <w:p w14:paraId="2D4514E1">
      <w:pPr>
        <w:tabs>
          <w:tab w:val="left" w:pos="1110"/>
        </w:tabs>
        <w:spacing w:after="78" w:line="276" w:lineRule="auto"/>
        <w:ind w:firstLine="480" w:firstLineChars="200"/>
        <w:rPr>
          <w:rFonts w:hint="eastAsia" w:ascii="仿宋" w:hAnsi="仿宋" w:eastAsia="仿宋" w:cs="宋体"/>
          <w:color w:val="000000"/>
          <w:sz w:val="24"/>
          <w:szCs w:val="21"/>
        </w:rPr>
      </w:pPr>
    </w:p>
    <w:p w14:paraId="4E3EBA4E">
      <w:pPr>
        <w:tabs>
          <w:tab w:val="left" w:pos="1110"/>
        </w:tabs>
        <w:spacing w:after="78" w:line="276" w:lineRule="auto"/>
        <w:ind w:firstLine="480" w:firstLineChars="200"/>
        <w:rPr>
          <w:rFonts w:hint="eastAsia" w:ascii="仿宋" w:hAnsi="仿宋" w:eastAsia="仿宋" w:cs="宋体"/>
          <w:color w:val="000000"/>
          <w:sz w:val="24"/>
          <w:szCs w:val="21"/>
        </w:rPr>
      </w:pPr>
    </w:p>
    <w:p w14:paraId="577E0F83">
      <w:pPr>
        <w:tabs>
          <w:tab w:val="left" w:pos="1110"/>
        </w:tabs>
        <w:spacing w:after="78" w:line="276" w:lineRule="auto"/>
        <w:ind w:firstLine="480" w:firstLineChars="200"/>
        <w:rPr>
          <w:rFonts w:hint="eastAsia" w:ascii="仿宋" w:hAnsi="仿宋" w:eastAsia="仿宋" w:cs="宋体"/>
          <w:color w:val="000000"/>
          <w:sz w:val="24"/>
          <w:szCs w:val="21"/>
        </w:rPr>
      </w:pPr>
    </w:p>
    <w:p w14:paraId="1A25F1E1">
      <w:pPr>
        <w:tabs>
          <w:tab w:val="left" w:pos="1110"/>
        </w:tabs>
        <w:spacing w:after="78" w:line="276" w:lineRule="auto"/>
        <w:ind w:firstLine="480" w:firstLineChars="200"/>
        <w:rPr>
          <w:rFonts w:hint="eastAsia" w:ascii="仿宋" w:hAnsi="仿宋" w:eastAsia="仿宋" w:cs="宋体"/>
          <w:color w:val="000000"/>
          <w:sz w:val="24"/>
          <w:szCs w:val="21"/>
        </w:rPr>
      </w:pPr>
    </w:p>
    <w:p w14:paraId="3CBCFDAF">
      <w:pPr>
        <w:tabs>
          <w:tab w:val="left" w:pos="1110"/>
        </w:tabs>
        <w:spacing w:after="78" w:line="276" w:lineRule="auto"/>
        <w:ind w:firstLine="480" w:firstLineChars="200"/>
        <w:rPr>
          <w:rFonts w:hint="eastAsia" w:ascii="仿宋" w:hAnsi="仿宋" w:eastAsia="仿宋" w:cs="宋体"/>
          <w:color w:val="000000"/>
          <w:sz w:val="24"/>
          <w:szCs w:val="21"/>
        </w:rPr>
      </w:pPr>
    </w:p>
    <w:p w14:paraId="395CFE36">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67"/>
    </w:p>
    <w:p w14:paraId="3F913D14">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238BD6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7238BD6E">
                      <w:pPr>
                        <w:spacing w:after="78"/>
                      </w:pPr>
                    </w:p>
                  </w:txbxContent>
                </v:textbox>
              </v:shape>
            </w:pict>
          </mc:Fallback>
        </mc:AlternateContent>
      </w:r>
    </w:p>
    <w:p w14:paraId="41E0EB7A">
      <w:pPr>
        <w:tabs>
          <w:tab w:val="left" w:pos="1110"/>
        </w:tabs>
        <w:spacing w:after="78" w:line="276" w:lineRule="auto"/>
        <w:ind w:firstLine="480" w:firstLineChars="200"/>
        <w:rPr>
          <w:rFonts w:hint="eastAsia" w:ascii="仿宋" w:hAnsi="仿宋" w:eastAsia="仿宋" w:cs="宋体"/>
          <w:color w:val="000000"/>
          <w:sz w:val="24"/>
          <w:szCs w:val="21"/>
        </w:rPr>
      </w:pPr>
    </w:p>
    <w:p w14:paraId="6CB67E89">
      <w:pPr>
        <w:tabs>
          <w:tab w:val="left" w:pos="1110"/>
        </w:tabs>
        <w:spacing w:after="78" w:line="276" w:lineRule="auto"/>
        <w:ind w:firstLine="480" w:firstLineChars="200"/>
        <w:rPr>
          <w:rFonts w:hint="eastAsia" w:ascii="仿宋" w:hAnsi="仿宋" w:eastAsia="仿宋" w:cs="宋体"/>
          <w:color w:val="000000"/>
          <w:sz w:val="24"/>
          <w:szCs w:val="21"/>
        </w:rPr>
      </w:pPr>
    </w:p>
    <w:p w14:paraId="30213818">
      <w:pPr>
        <w:tabs>
          <w:tab w:val="left" w:pos="1110"/>
        </w:tabs>
        <w:spacing w:after="78" w:line="276" w:lineRule="auto"/>
        <w:ind w:firstLine="480" w:firstLineChars="200"/>
        <w:rPr>
          <w:rFonts w:hint="eastAsia" w:ascii="仿宋" w:hAnsi="仿宋" w:eastAsia="仿宋" w:cs="宋体"/>
          <w:color w:val="000000"/>
          <w:sz w:val="24"/>
          <w:szCs w:val="21"/>
        </w:rPr>
      </w:pPr>
    </w:p>
    <w:p w14:paraId="0571C0F9">
      <w:pPr>
        <w:tabs>
          <w:tab w:val="left" w:pos="1110"/>
        </w:tabs>
        <w:spacing w:after="78" w:line="276" w:lineRule="auto"/>
        <w:ind w:firstLine="480" w:firstLineChars="200"/>
        <w:rPr>
          <w:rFonts w:hint="eastAsia" w:ascii="仿宋" w:hAnsi="仿宋" w:eastAsia="仿宋" w:cs="宋体"/>
          <w:color w:val="000000"/>
          <w:sz w:val="24"/>
          <w:szCs w:val="21"/>
        </w:rPr>
      </w:pPr>
    </w:p>
    <w:p w14:paraId="7804B22C">
      <w:pPr>
        <w:tabs>
          <w:tab w:val="left" w:pos="1110"/>
        </w:tabs>
        <w:spacing w:after="78" w:line="276" w:lineRule="auto"/>
        <w:ind w:firstLine="480" w:firstLineChars="200"/>
        <w:rPr>
          <w:rFonts w:hint="eastAsia" w:ascii="仿宋" w:hAnsi="仿宋" w:eastAsia="仿宋" w:cs="宋体"/>
          <w:color w:val="000000"/>
          <w:sz w:val="24"/>
          <w:szCs w:val="21"/>
        </w:rPr>
      </w:pPr>
    </w:p>
    <w:p w14:paraId="67343825">
      <w:pPr>
        <w:tabs>
          <w:tab w:val="left" w:pos="1110"/>
        </w:tabs>
        <w:spacing w:after="78" w:line="276" w:lineRule="auto"/>
        <w:ind w:firstLine="480" w:firstLineChars="200"/>
        <w:rPr>
          <w:rFonts w:hint="eastAsia" w:ascii="仿宋" w:hAnsi="仿宋" w:eastAsia="仿宋" w:cs="宋体"/>
          <w:color w:val="000000"/>
          <w:sz w:val="24"/>
          <w:szCs w:val="21"/>
        </w:rPr>
      </w:pPr>
    </w:p>
    <w:p w14:paraId="595ACE83">
      <w:pPr>
        <w:tabs>
          <w:tab w:val="left" w:pos="1110"/>
        </w:tabs>
        <w:spacing w:after="78" w:line="276" w:lineRule="auto"/>
        <w:ind w:firstLine="480" w:firstLineChars="200"/>
        <w:rPr>
          <w:rFonts w:hint="eastAsia" w:ascii="仿宋" w:hAnsi="仿宋" w:eastAsia="仿宋" w:cs="宋体"/>
          <w:color w:val="000000"/>
          <w:sz w:val="24"/>
          <w:szCs w:val="21"/>
        </w:rPr>
      </w:pPr>
    </w:p>
    <w:p w14:paraId="0BB16716">
      <w:pPr>
        <w:tabs>
          <w:tab w:val="left" w:pos="1110"/>
        </w:tabs>
        <w:spacing w:after="78" w:line="276" w:lineRule="auto"/>
        <w:ind w:firstLine="480" w:firstLineChars="200"/>
        <w:rPr>
          <w:rFonts w:hint="eastAsia" w:ascii="仿宋" w:hAnsi="仿宋" w:eastAsia="仿宋" w:cs="宋体"/>
          <w:color w:val="000000"/>
          <w:sz w:val="24"/>
          <w:szCs w:val="21"/>
        </w:rPr>
      </w:pPr>
    </w:p>
    <w:p w14:paraId="2FCC7542">
      <w:pPr>
        <w:tabs>
          <w:tab w:val="left" w:pos="1110"/>
        </w:tabs>
        <w:spacing w:after="78" w:line="276" w:lineRule="auto"/>
        <w:ind w:firstLine="480" w:firstLineChars="200"/>
        <w:rPr>
          <w:rFonts w:hint="eastAsia" w:ascii="仿宋" w:hAnsi="仿宋" w:eastAsia="仿宋" w:cs="宋体"/>
          <w:color w:val="000000"/>
          <w:sz w:val="24"/>
          <w:szCs w:val="21"/>
        </w:rPr>
      </w:pPr>
    </w:p>
    <w:p w14:paraId="51BB3CA4">
      <w:pPr>
        <w:tabs>
          <w:tab w:val="left" w:pos="1110"/>
        </w:tabs>
        <w:spacing w:after="78" w:line="276" w:lineRule="auto"/>
        <w:ind w:firstLine="480" w:firstLineChars="200"/>
        <w:rPr>
          <w:rFonts w:hint="eastAsia" w:ascii="仿宋" w:hAnsi="仿宋" w:eastAsia="仿宋" w:cs="宋体"/>
          <w:color w:val="000000"/>
          <w:sz w:val="24"/>
          <w:szCs w:val="21"/>
        </w:rPr>
      </w:pPr>
    </w:p>
    <w:p w14:paraId="17124D5A">
      <w:pPr>
        <w:tabs>
          <w:tab w:val="left" w:pos="1110"/>
        </w:tabs>
        <w:spacing w:after="78" w:line="276" w:lineRule="auto"/>
        <w:ind w:firstLine="480" w:firstLineChars="200"/>
        <w:rPr>
          <w:rFonts w:hint="eastAsia" w:ascii="仿宋" w:hAnsi="仿宋" w:eastAsia="仿宋" w:cs="宋体"/>
          <w:color w:val="000000"/>
          <w:sz w:val="24"/>
          <w:szCs w:val="21"/>
        </w:rPr>
      </w:pPr>
    </w:p>
    <w:p w14:paraId="342E2D25">
      <w:pPr>
        <w:tabs>
          <w:tab w:val="left" w:pos="1110"/>
        </w:tabs>
        <w:spacing w:after="78" w:line="276" w:lineRule="auto"/>
        <w:ind w:firstLine="480" w:firstLineChars="200"/>
        <w:rPr>
          <w:rFonts w:hint="eastAsia" w:ascii="仿宋" w:hAnsi="仿宋" w:eastAsia="仿宋" w:cs="宋体"/>
          <w:color w:val="000000"/>
          <w:sz w:val="24"/>
          <w:szCs w:val="21"/>
        </w:rPr>
      </w:pPr>
    </w:p>
    <w:p w14:paraId="6A86A7CD">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F8E846F">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潜污泵</w:t>
      </w:r>
      <w:r>
        <w:rPr>
          <w:rFonts w:hint="eastAsia" w:ascii="仿宋" w:hAnsi="仿宋" w:eastAsia="仿宋"/>
          <w:b/>
          <w:bCs/>
          <w:kern w:val="0"/>
          <w:sz w:val="24"/>
          <w:lang w:eastAsia="zh-CN"/>
        </w:rPr>
        <w:t>采购项目</w:t>
      </w:r>
      <w:r>
        <w:rPr>
          <w:rFonts w:hint="eastAsia" w:ascii="仿宋" w:hAnsi="仿宋" w:eastAsia="仿宋"/>
          <w:b/>
          <w:bCs/>
          <w:kern w:val="0"/>
          <w:sz w:val="24"/>
        </w:rPr>
        <w:t>报价一览表</w:t>
      </w:r>
    </w:p>
    <w:p w14:paraId="5E222BD2">
      <w:pPr>
        <w:pStyle w:val="9"/>
        <w:jc w:val="center"/>
        <w:rPr>
          <w:rFonts w:ascii="仿宋" w:hAnsi="仿宋"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940"/>
        <w:gridCol w:w="2736"/>
        <w:gridCol w:w="655"/>
        <w:gridCol w:w="213"/>
        <w:gridCol w:w="50"/>
        <w:gridCol w:w="567"/>
        <w:gridCol w:w="279"/>
        <w:gridCol w:w="45"/>
        <w:gridCol w:w="1177"/>
        <w:gridCol w:w="1160"/>
        <w:gridCol w:w="890"/>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35" w:type="dxa"/>
            <w:vAlign w:val="center"/>
          </w:tcPr>
          <w:p w14:paraId="32BDB199">
            <w:pPr>
              <w:spacing w:afterLines="0" w:line="300" w:lineRule="exact"/>
              <w:jc w:val="center"/>
              <w:rPr>
                <w:rFonts w:ascii="仿宋" w:hAnsi="仿宋" w:eastAsia="仿宋"/>
                <w:szCs w:val="21"/>
              </w:rPr>
            </w:pPr>
            <w:r>
              <w:rPr>
                <w:rFonts w:hint="eastAsia" w:ascii="仿宋" w:hAnsi="仿宋" w:eastAsia="仿宋"/>
                <w:szCs w:val="21"/>
              </w:rPr>
              <w:t>报价内容</w:t>
            </w:r>
          </w:p>
        </w:tc>
        <w:tc>
          <w:tcPr>
            <w:tcW w:w="8712" w:type="dxa"/>
            <w:gridSpan w:val="11"/>
            <w:vAlign w:val="center"/>
          </w:tcPr>
          <w:p w14:paraId="5A9ADBC1">
            <w:pPr>
              <w:spacing w:afterLines="0" w:line="300" w:lineRule="exact"/>
              <w:jc w:val="center"/>
              <w:rPr>
                <w:rFonts w:hint="eastAsia" w:ascii="仿宋" w:hAnsi="仿宋" w:eastAsia="仿宋"/>
                <w:b/>
                <w:szCs w:val="21"/>
                <w:lang w:eastAsia="zh-CN"/>
              </w:rPr>
            </w:pPr>
            <w:r>
              <w:rPr>
                <w:rFonts w:hint="eastAsia" w:ascii="仿宋" w:hAnsi="仿宋" w:eastAsia="仿宋"/>
                <w:b/>
                <w:szCs w:val="21"/>
                <w:lang w:val="en-US" w:eastAsia="zh-CN"/>
              </w:rPr>
              <w:t>潜污泵</w:t>
            </w:r>
            <w:r>
              <w:rPr>
                <w:rFonts w:hint="eastAsia" w:ascii="仿宋" w:hAnsi="仿宋" w:eastAsia="仿宋"/>
                <w:b/>
                <w:szCs w:val="21"/>
                <w:lang w:eastAsia="zh-CN"/>
              </w:rPr>
              <w:t>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Merge w:val="restart"/>
            <w:vAlign w:val="center"/>
          </w:tcPr>
          <w:p w14:paraId="34E3BAF7">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544" w:type="dxa"/>
            <w:gridSpan w:val="4"/>
            <w:vMerge w:val="restart"/>
            <w:vAlign w:val="center"/>
          </w:tcPr>
          <w:p w14:paraId="75C8E565">
            <w:pPr>
              <w:spacing w:afterLines="0" w:line="300" w:lineRule="exact"/>
              <w:jc w:val="center"/>
              <w:rPr>
                <w:rFonts w:ascii="仿宋" w:hAnsi="仿宋" w:eastAsia="仿宋"/>
                <w:szCs w:val="21"/>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水务咨询</w:t>
            </w:r>
            <w:r>
              <w:rPr>
                <w:rFonts w:hint="eastAsia" w:ascii="仿宋" w:hAnsi="仿宋" w:eastAsia="仿宋"/>
                <w:szCs w:val="21"/>
                <w:highlight w:val="none"/>
              </w:rPr>
              <w:t>有限公司</w:t>
            </w:r>
          </w:p>
        </w:tc>
        <w:tc>
          <w:tcPr>
            <w:tcW w:w="896" w:type="dxa"/>
            <w:gridSpan w:val="3"/>
            <w:vAlign w:val="center"/>
          </w:tcPr>
          <w:p w14:paraId="6EC27A8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272" w:type="dxa"/>
            <w:gridSpan w:val="4"/>
          </w:tcPr>
          <w:p w14:paraId="13BCF02C">
            <w:pPr>
              <w:spacing w:afterLines="0"/>
              <w:jc w:val="center"/>
              <w:rPr>
                <w:rFonts w:ascii="仿宋" w:hAnsi="仿宋" w:eastAsia="仿宋"/>
                <w:szCs w:val="21"/>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35" w:type="dxa"/>
            <w:vMerge w:val="continue"/>
            <w:vAlign w:val="center"/>
          </w:tcPr>
          <w:p w14:paraId="4D23C2BC">
            <w:pPr>
              <w:spacing w:afterLines="0" w:line="300" w:lineRule="exact"/>
              <w:jc w:val="center"/>
              <w:rPr>
                <w:rFonts w:ascii="仿宋" w:hAnsi="仿宋" w:eastAsia="仿宋"/>
                <w:szCs w:val="21"/>
              </w:rPr>
            </w:pPr>
          </w:p>
        </w:tc>
        <w:tc>
          <w:tcPr>
            <w:tcW w:w="4544" w:type="dxa"/>
            <w:gridSpan w:val="4"/>
            <w:vMerge w:val="continue"/>
            <w:vAlign w:val="center"/>
          </w:tcPr>
          <w:p w14:paraId="56346BA5">
            <w:pPr>
              <w:spacing w:afterLines="0" w:line="300" w:lineRule="exact"/>
              <w:jc w:val="center"/>
              <w:rPr>
                <w:rFonts w:ascii="仿宋" w:hAnsi="仿宋" w:eastAsia="仿宋"/>
                <w:szCs w:val="21"/>
              </w:rPr>
            </w:pPr>
          </w:p>
        </w:tc>
        <w:tc>
          <w:tcPr>
            <w:tcW w:w="896" w:type="dxa"/>
            <w:gridSpan w:val="3"/>
            <w:vAlign w:val="center"/>
          </w:tcPr>
          <w:p w14:paraId="04965F84">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272" w:type="dxa"/>
            <w:gridSpan w:val="4"/>
          </w:tcPr>
          <w:p w14:paraId="09FEE6D9">
            <w:pPr>
              <w:spacing w:afterLines="0"/>
              <w:jc w:val="center"/>
              <w:rPr>
                <w:rFonts w:ascii="仿宋" w:hAnsi="仿宋" w:eastAsia="仿宋"/>
                <w:szCs w:val="21"/>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35" w:type="dxa"/>
            <w:vAlign w:val="center"/>
          </w:tcPr>
          <w:p w14:paraId="3280531F">
            <w:pPr>
              <w:spacing w:afterLines="0" w:line="300" w:lineRule="exact"/>
              <w:jc w:val="center"/>
              <w:rPr>
                <w:rFonts w:ascii="仿宋" w:hAnsi="仿宋" w:eastAsia="仿宋"/>
                <w:szCs w:val="21"/>
              </w:rPr>
            </w:pPr>
            <w:r>
              <w:rPr>
                <w:rFonts w:hint="eastAsia" w:ascii="仿宋" w:hAnsi="仿宋" w:eastAsia="仿宋"/>
                <w:szCs w:val="21"/>
              </w:rPr>
              <w:t>送货地址</w:t>
            </w:r>
          </w:p>
        </w:tc>
        <w:tc>
          <w:tcPr>
            <w:tcW w:w="4544" w:type="dxa"/>
            <w:gridSpan w:val="4"/>
            <w:vAlign w:val="center"/>
          </w:tcPr>
          <w:p w14:paraId="6A569920">
            <w:pPr>
              <w:spacing w:afterLines="0" w:line="300" w:lineRule="exact"/>
              <w:jc w:val="center"/>
              <w:rPr>
                <w:rFonts w:hint="eastAsia" w:ascii="仿宋" w:hAnsi="仿宋" w:eastAsia="仿宋"/>
                <w:szCs w:val="21"/>
              </w:rPr>
            </w:pPr>
            <w:r>
              <w:rPr>
                <w:rFonts w:ascii="Arial" w:hAnsi="Arial" w:eastAsia="Arial" w:cs="Arial"/>
                <w:i w:val="0"/>
                <w:iCs w:val="0"/>
                <w:caps w:val="0"/>
                <w:color w:val="333333"/>
                <w:spacing w:val="0"/>
                <w:sz w:val="16"/>
                <w:szCs w:val="16"/>
                <w:shd w:val="clear" w:fill="FFFFFF"/>
              </w:rPr>
              <w:t>宁夏回族自治区银川市金凤区北京大学第一医院宁夏妇女儿童医院</w:t>
            </w:r>
          </w:p>
        </w:tc>
        <w:tc>
          <w:tcPr>
            <w:tcW w:w="896" w:type="dxa"/>
            <w:gridSpan w:val="3"/>
            <w:vAlign w:val="center"/>
          </w:tcPr>
          <w:p w14:paraId="3BCA9681">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272" w:type="dxa"/>
            <w:gridSpan w:val="4"/>
          </w:tcPr>
          <w:p w14:paraId="0E27DEA3">
            <w:pPr>
              <w:spacing w:afterLines="0"/>
              <w:jc w:val="center"/>
              <w:rPr>
                <w:rFonts w:ascii="仿宋" w:hAnsi="仿宋" w:eastAsia="仿宋"/>
                <w:szCs w:val="21"/>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2"/>
            <w:vAlign w:val="center"/>
          </w:tcPr>
          <w:p w14:paraId="0B7D1513">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57818B63">
            <w:pPr>
              <w:spacing w:afterLines="0" w:line="440" w:lineRule="exact"/>
              <w:jc w:val="center"/>
              <w:rPr>
                <w:rFonts w:ascii="仿宋" w:hAnsi="仿宋" w:eastAsia="仿宋"/>
                <w:b/>
                <w:szCs w:val="21"/>
              </w:rPr>
            </w:pPr>
            <w:r>
              <w:rPr>
                <w:rFonts w:ascii="仿宋" w:hAnsi="仿宋" w:eastAsia="仿宋"/>
                <w:b/>
                <w:szCs w:val="21"/>
              </w:rPr>
              <w:t>序号</w:t>
            </w:r>
          </w:p>
        </w:tc>
        <w:tc>
          <w:tcPr>
            <w:tcW w:w="940" w:type="dxa"/>
            <w:vAlign w:val="center"/>
          </w:tcPr>
          <w:p w14:paraId="03525D91">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36" w:type="dxa"/>
            <w:vAlign w:val="center"/>
          </w:tcPr>
          <w:p w14:paraId="005DA8EE">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55" w:type="dxa"/>
            <w:vAlign w:val="center"/>
          </w:tcPr>
          <w:p w14:paraId="68A8FD38">
            <w:pPr>
              <w:spacing w:afterLines="0" w:line="440" w:lineRule="exact"/>
              <w:jc w:val="center"/>
              <w:rPr>
                <w:rFonts w:ascii="仿宋" w:hAnsi="仿宋" w:eastAsia="仿宋"/>
                <w:b/>
                <w:szCs w:val="21"/>
              </w:rPr>
            </w:pPr>
            <w:r>
              <w:rPr>
                <w:rFonts w:ascii="仿宋" w:hAnsi="仿宋" w:eastAsia="仿宋"/>
                <w:b/>
                <w:szCs w:val="21"/>
              </w:rPr>
              <w:t>单位</w:t>
            </w:r>
          </w:p>
        </w:tc>
        <w:tc>
          <w:tcPr>
            <w:tcW w:w="830" w:type="dxa"/>
            <w:gridSpan w:val="3"/>
            <w:vAlign w:val="center"/>
          </w:tcPr>
          <w:p w14:paraId="25A8751C">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01" w:type="dxa"/>
            <w:gridSpan w:val="3"/>
            <w:vAlign w:val="center"/>
          </w:tcPr>
          <w:p w14:paraId="6FF30FE9">
            <w:pPr>
              <w:spacing w:afterLines="0" w:line="440" w:lineRule="exact"/>
              <w:jc w:val="center"/>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160" w:type="dxa"/>
            <w:vAlign w:val="center"/>
          </w:tcPr>
          <w:p w14:paraId="1222AEF3">
            <w:pPr>
              <w:spacing w:afterLines="0" w:line="440" w:lineRule="exact"/>
              <w:jc w:val="center"/>
              <w:rPr>
                <w:rFonts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890" w:type="dxa"/>
            <w:vAlign w:val="center"/>
          </w:tcPr>
          <w:p w14:paraId="46B57631">
            <w:pPr>
              <w:spacing w:afterLines="0" w:line="440" w:lineRule="exact"/>
              <w:jc w:val="center"/>
              <w:rPr>
                <w:rFonts w:ascii="仿宋" w:hAnsi="仿宋" w:eastAsia="仿宋"/>
                <w:b/>
                <w:szCs w:val="21"/>
              </w:rPr>
            </w:pPr>
            <w:r>
              <w:rPr>
                <w:rFonts w:ascii="仿宋" w:hAnsi="仿宋" w:eastAsia="仿宋"/>
                <w:b/>
                <w:szCs w:val="21"/>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35" w:type="dxa"/>
            <w:vAlign w:val="center"/>
          </w:tcPr>
          <w:p w14:paraId="7EFDA896">
            <w:pPr>
              <w:pStyle w:val="59"/>
              <w:numPr>
                <w:ilvl w:val="0"/>
                <w:numId w:val="1"/>
              </w:numPr>
              <w:spacing w:afterLines="0" w:line="300" w:lineRule="exact"/>
              <w:ind w:firstLineChars="0"/>
              <w:jc w:val="center"/>
              <w:rPr>
                <w:rFonts w:ascii="仿宋" w:hAnsi="仿宋" w:eastAsia="仿宋"/>
                <w:szCs w:val="21"/>
              </w:rPr>
            </w:pPr>
          </w:p>
        </w:tc>
        <w:tc>
          <w:tcPr>
            <w:tcW w:w="940" w:type="dxa"/>
            <w:vAlign w:val="center"/>
          </w:tcPr>
          <w:p w14:paraId="5B927186">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潜污泵</w:t>
            </w:r>
          </w:p>
        </w:tc>
        <w:tc>
          <w:tcPr>
            <w:tcW w:w="2736" w:type="dxa"/>
            <w:vAlign w:val="center"/>
          </w:tcPr>
          <w:p w14:paraId="075DF4D0">
            <w:pPr>
              <w:spacing w:afterLines="0" w:line="440" w:lineRule="exact"/>
              <w:jc w:val="center"/>
              <w:rPr>
                <w:rFonts w:hint="default" w:ascii="仿宋" w:hAnsi="仿宋" w:eastAsia="仿宋"/>
                <w:szCs w:val="21"/>
                <w:lang w:val="en-US" w:eastAsia="zh-CN"/>
              </w:rPr>
            </w:pPr>
            <w:r>
              <w:rPr>
                <w:rFonts w:hint="eastAsia" w:asciiTheme="minorEastAsia" w:hAnsiTheme="minorEastAsia" w:eastAsiaTheme="minorEastAsia"/>
                <w:kern w:val="0"/>
                <w:szCs w:val="21"/>
                <w:lang w:val="en-US" w:eastAsia="zh-CN"/>
              </w:rPr>
              <w:t>Q=10m³/h,H=18m,N=2.2kw，不锈钢切割泵，四芯8m</w:t>
            </w:r>
            <w:r>
              <w:rPr>
                <w:rFonts w:hint="eastAsia" w:asciiTheme="minorEastAsia" w:hAnsiTheme="minorEastAsia" w:eastAsiaTheme="minorEastAsia"/>
                <w:kern w:val="0"/>
                <w:szCs w:val="21"/>
                <w:lang w:val="en-US" w:eastAsia="zh-CN"/>
              </w:rPr>
              <w:tab/>
            </w:r>
            <w:r>
              <w:rPr>
                <w:rFonts w:hint="eastAsia" w:asciiTheme="minorEastAsia" w:hAnsiTheme="minorEastAsia" w:eastAsiaTheme="minorEastAsia"/>
                <w:kern w:val="0"/>
                <w:szCs w:val="21"/>
                <w:lang w:val="en-US" w:eastAsia="zh-CN"/>
              </w:rPr>
              <w:t>电缆</w:t>
            </w:r>
          </w:p>
        </w:tc>
        <w:tc>
          <w:tcPr>
            <w:tcW w:w="655" w:type="dxa"/>
            <w:vAlign w:val="center"/>
          </w:tcPr>
          <w:p w14:paraId="21BFDC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830" w:type="dxa"/>
            <w:gridSpan w:val="3"/>
            <w:vAlign w:val="center"/>
          </w:tcPr>
          <w:p w14:paraId="4D340194">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501" w:type="dxa"/>
            <w:gridSpan w:val="3"/>
            <w:vAlign w:val="center"/>
          </w:tcPr>
          <w:p w14:paraId="7196E60A">
            <w:pPr>
              <w:spacing w:afterLines="0" w:line="440" w:lineRule="exact"/>
              <w:jc w:val="center"/>
              <w:rPr>
                <w:rFonts w:ascii="仿宋" w:hAnsi="仿宋" w:eastAsia="仿宋"/>
                <w:szCs w:val="21"/>
              </w:rPr>
            </w:pPr>
          </w:p>
        </w:tc>
        <w:tc>
          <w:tcPr>
            <w:tcW w:w="1160" w:type="dxa"/>
            <w:vAlign w:val="center"/>
          </w:tcPr>
          <w:p w14:paraId="05975699">
            <w:pPr>
              <w:spacing w:afterLines="0" w:line="440" w:lineRule="exact"/>
              <w:jc w:val="center"/>
              <w:rPr>
                <w:rFonts w:ascii="仿宋" w:hAnsi="仿宋" w:eastAsia="仿宋"/>
                <w:szCs w:val="21"/>
              </w:rPr>
            </w:pPr>
          </w:p>
        </w:tc>
        <w:tc>
          <w:tcPr>
            <w:tcW w:w="890" w:type="dxa"/>
            <w:vAlign w:val="center"/>
          </w:tcPr>
          <w:p w14:paraId="418D9D66">
            <w:pPr>
              <w:spacing w:afterLines="0" w:line="440" w:lineRule="exact"/>
              <w:jc w:val="center"/>
              <w:rPr>
                <w:rFonts w:ascii="仿宋" w:hAnsi="仿宋" w:eastAsia="仿宋"/>
                <w:szCs w:val="21"/>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2"/>
            <w:vAlign w:val="center"/>
          </w:tcPr>
          <w:p w14:paraId="6CB0353D">
            <w:pPr>
              <w:spacing w:afterLines="0" w:line="440" w:lineRule="exact"/>
              <w:rPr>
                <w:rFonts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35" w:type="dxa"/>
            <w:vAlign w:val="center"/>
          </w:tcPr>
          <w:p w14:paraId="283B5B6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544" w:type="dxa"/>
            <w:gridSpan w:val="4"/>
            <w:vAlign w:val="center"/>
          </w:tcPr>
          <w:p w14:paraId="0868271B">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896" w:type="dxa"/>
            <w:gridSpan w:val="3"/>
            <w:vAlign w:val="center"/>
          </w:tcPr>
          <w:p w14:paraId="317591B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272" w:type="dxa"/>
            <w:gridSpan w:val="4"/>
            <w:vAlign w:val="center"/>
          </w:tcPr>
          <w:p w14:paraId="31A02A76">
            <w:pPr>
              <w:spacing w:afterLines="0" w:line="300" w:lineRule="exact"/>
              <w:jc w:val="center"/>
              <w:rPr>
                <w:rFonts w:ascii="仿宋" w:hAnsi="仿宋" w:eastAsia="仿宋"/>
                <w:szCs w:val="21"/>
              </w:rPr>
            </w:pP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35" w:type="dxa"/>
            <w:vAlign w:val="center"/>
          </w:tcPr>
          <w:p w14:paraId="3D00B952">
            <w:pPr>
              <w:spacing w:afterLines="0" w:line="300" w:lineRule="exact"/>
              <w:jc w:val="center"/>
              <w:rPr>
                <w:rFonts w:ascii="仿宋" w:hAnsi="仿宋" w:eastAsia="仿宋"/>
                <w:szCs w:val="21"/>
              </w:rPr>
            </w:pPr>
            <w:r>
              <w:rPr>
                <w:rFonts w:hint="eastAsia" w:ascii="仿宋" w:hAnsi="仿宋" w:eastAsia="仿宋"/>
                <w:szCs w:val="21"/>
              </w:rPr>
              <w:t>付款方式</w:t>
            </w:r>
          </w:p>
        </w:tc>
        <w:tc>
          <w:tcPr>
            <w:tcW w:w="8712" w:type="dxa"/>
            <w:gridSpan w:val="11"/>
            <w:vAlign w:val="center"/>
          </w:tcPr>
          <w:p w14:paraId="2A0ECE52">
            <w:pPr>
              <w:spacing w:afterLines="0" w:line="300" w:lineRule="exact"/>
              <w:jc w:val="left"/>
              <w:rPr>
                <w:rFonts w:ascii="仿宋" w:hAnsi="仿宋" w:eastAsia="仿宋"/>
                <w:szCs w:val="21"/>
              </w:rPr>
            </w:pPr>
            <w:r>
              <w:rPr>
                <w:rFonts w:hint="eastAsia" w:ascii="仿宋" w:hAnsi="仿宋" w:eastAsia="仿宋"/>
                <w:szCs w:val="21"/>
              </w:rPr>
              <w:t>合同签订后，甲方向乙方支付合同金额的30%作为预付款，合同货物到货并验收通过后，甲方支付至合同价总额95%验收款，质保期满后付清剩余5%款项。</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5" w:type="dxa"/>
            <w:vAlign w:val="center"/>
          </w:tcPr>
          <w:p w14:paraId="0CC94575">
            <w:pPr>
              <w:spacing w:afterLines="0" w:line="300" w:lineRule="exact"/>
              <w:jc w:val="center"/>
              <w:rPr>
                <w:rFonts w:ascii="仿宋" w:hAnsi="仿宋" w:eastAsia="仿宋"/>
                <w:szCs w:val="21"/>
              </w:rPr>
            </w:pPr>
            <w:r>
              <w:rPr>
                <w:rFonts w:hint="eastAsia" w:ascii="仿宋" w:hAnsi="仿宋" w:eastAsia="仿宋"/>
                <w:szCs w:val="21"/>
              </w:rPr>
              <w:t>*供货期</w:t>
            </w:r>
          </w:p>
        </w:tc>
        <w:tc>
          <w:tcPr>
            <w:tcW w:w="4594" w:type="dxa"/>
            <w:gridSpan w:val="5"/>
            <w:vAlign w:val="center"/>
          </w:tcPr>
          <w:p w14:paraId="40ADA3DB">
            <w:pPr>
              <w:spacing w:afterLines="0" w:line="300" w:lineRule="exact"/>
              <w:jc w:val="left"/>
              <w:rPr>
                <w:rFonts w:ascii="仿宋" w:hAnsi="仿宋" w:eastAsia="仿宋"/>
                <w:szCs w:val="21"/>
              </w:rPr>
            </w:pPr>
            <w:r>
              <w:rPr>
                <w:rFonts w:hint="eastAsia" w:ascii="仿宋" w:hAnsi="仿宋" w:eastAsia="仿宋"/>
                <w:szCs w:val="21"/>
                <w:lang w:val="en-US" w:eastAsia="zh-CN"/>
              </w:rPr>
              <w:t>30</w:t>
            </w:r>
            <w:r>
              <w:rPr>
                <w:rFonts w:hint="eastAsia" w:ascii="仿宋" w:hAnsi="仿宋" w:eastAsia="仿宋"/>
                <w:szCs w:val="21"/>
              </w:rPr>
              <w:t>个日历日内</w:t>
            </w:r>
          </w:p>
        </w:tc>
        <w:tc>
          <w:tcPr>
            <w:tcW w:w="891" w:type="dxa"/>
            <w:gridSpan w:val="3"/>
            <w:vAlign w:val="center"/>
          </w:tcPr>
          <w:p w14:paraId="3691855F">
            <w:pPr>
              <w:spacing w:afterLines="0" w:line="300" w:lineRule="exact"/>
              <w:jc w:val="left"/>
              <w:rPr>
                <w:rFonts w:ascii="仿宋" w:hAnsi="仿宋" w:eastAsia="仿宋"/>
                <w:szCs w:val="21"/>
              </w:rPr>
            </w:pPr>
            <w:r>
              <w:rPr>
                <w:rFonts w:hint="eastAsia" w:ascii="仿宋" w:hAnsi="仿宋" w:eastAsia="仿宋"/>
                <w:szCs w:val="21"/>
              </w:rPr>
              <w:t>质保期</w:t>
            </w:r>
          </w:p>
        </w:tc>
        <w:tc>
          <w:tcPr>
            <w:tcW w:w="3227" w:type="dxa"/>
            <w:gridSpan w:val="3"/>
            <w:vAlign w:val="center"/>
          </w:tcPr>
          <w:p w14:paraId="590272F0">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1年</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2"/>
            <w:vAlign w:val="center"/>
          </w:tcPr>
          <w:p w14:paraId="7B1EC9C2">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469B0E4">
            <w:pPr>
              <w:spacing w:afterLines="0" w:line="300" w:lineRule="exact"/>
              <w:jc w:val="left"/>
              <w:rPr>
                <w:rFonts w:ascii="仿宋" w:hAnsi="仿宋" w:eastAsia="仿宋"/>
                <w:szCs w:val="21"/>
              </w:rPr>
            </w:pPr>
            <w:r>
              <w:rPr>
                <w:rFonts w:hint="eastAsia" w:ascii="仿宋" w:hAnsi="仿宋" w:eastAsia="仿宋"/>
                <w:szCs w:val="21"/>
              </w:rPr>
              <w:t>2、报价包含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39B484EA">
            <w:pPr>
              <w:spacing w:afterLines="0" w:line="300" w:lineRule="exact"/>
              <w:jc w:val="left"/>
              <w:rPr>
                <w:rFonts w:ascii="仿宋" w:hAnsi="仿宋" w:eastAsia="仿宋"/>
                <w:szCs w:val="21"/>
              </w:rPr>
            </w:pPr>
            <w:r>
              <w:rPr>
                <w:rFonts w:hint="eastAsia" w:ascii="仿宋" w:hAnsi="仿宋" w:eastAsia="仿宋"/>
                <w:szCs w:val="21"/>
              </w:rPr>
              <w:t>3、送货地址:宁夏回族自治区银川市金凤区北京大学第一医院宁夏妇女儿童医院；</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6E60D539">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7E1E6B01">
      <w:pPr>
        <w:snapToGrid w:val="0"/>
        <w:spacing w:afterLines="0" w:line="360" w:lineRule="auto"/>
        <w:rPr>
          <w:rFonts w:ascii="仿宋" w:hAnsi="仿宋" w:eastAsia="仿宋" w:cs="Arial"/>
        </w:rPr>
      </w:pPr>
    </w:p>
    <w:p w14:paraId="2D0ECB46">
      <w:pPr>
        <w:snapToGrid w:val="0"/>
        <w:spacing w:afterLines="0" w:line="360" w:lineRule="auto"/>
        <w:ind w:firstLine="525" w:firstLineChars="250"/>
        <w:jc w:val="right"/>
        <w:rPr>
          <w:rFonts w:ascii="仿宋" w:hAnsi="仿宋" w:eastAsia="仿宋" w:cs="Arial"/>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2"/>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bookmarkStart w:id="68" w:name="_Toc116850266"/>
      <w:bookmarkStart w:id="69" w:name="_Toc133335897"/>
      <w:r>
        <w:rPr>
          <w:rFonts w:hint="eastAsia" w:ascii="仿宋" w:hAnsi="仿宋" w:eastAsia="仿宋"/>
          <w:b/>
          <w:bCs/>
          <w:kern w:val="0"/>
          <w:sz w:val="24"/>
        </w:rPr>
        <w:t>响应供应商认为有必要提供的其他材料</w:t>
      </w:r>
      <w:bookmarkEnd w:id="68"/>
      <w:bookmarkEnd w:id="69"/>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5870A0-C633-4E2D-9605-A53C243B8666}"/>
  </w:font>
  <w:font w:name="黑体">
    <w:panose1 w:val="02010609060101010101"/>
    <w:charset w:val="86"/>
    <w:family w:val="auto"/>
    <w:pitch w:val="default"/>
    <w:sig w:usb0="800002BF" w:usb1="38CF7CFA" w:usb2="00000016" w:usb3="00000000" w:csb0="00040001" w:csb1="00000000"/>
    <w:embedRegular r:id="rId2" w:fontKey="{42286723-5FF6-4651-B823-13D9623076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1BADE71-9717-41CD-BA24-116C57E5B73A}"/>
  </w:font>
  <w:font w:name="方正小标宋简体">
    <w:panose1 w:val="02000000000000000000"/>
    <w:charset w:val="86"/>
    <w:family w:val="script"/>
    <w:pitch w:val="default"/>
    <w:sig w:usb0="00000001" w:usb1="08000000" w:usb2="00000000" w:usb3="00000000" w:csb0="00040000" w:csb1="00000000"/>
    <w:embedRegular r:id="rId4" w:fontKey="{F695B787-6532-49E3-B920-E724CDC32A8D}"/>
  </w:font>
  <w:font w:name="长城小">
    <w:altName w:val="宋体"/>
    <w:panose1 w:val="00000000000000000000"/>
    <w:charset w:val="86"/>
    <w:family w:val="modern"/>
    <w:pitch w:val="default"/>
    <w:sig w:usb0="00000000" w:usb1="00000000" w:usb2="00000000" w:usb3="00000000" w:csb0="00040001" w:csb1="00000000"/>
    <w:embedRegular r:id="rId5" w:fontKey="{4DCB18DE-6DB5-42F8-A6D5-BFB7AF000732}"/>
  </w:font>
  <w:font w:name="长城小标宋体">
    <w:panose1 w:val="02010609010101010101"/>
    <w:charset w:val="86"/>
    <w:family w:val="auto"/>
    <w:pitch w:val="default"/>
    <w:sig w:usb0="00000000" w:usb1="00000000" w:usb2="00000000" w:usb3="00000000" w:csb0="00000000" w:csb1="00000000"/>
    <w:embedRegular r:id="rId6" w:fontKey="{C7642D97-4B2A-468C-A3E2-97382E94D312}"/>
  </w:font>
  <w:font w:name="仿宋">
    <w:panose1 w:val="02010609060101010101"/>
    <w:charset w:val="86"/>
    <w:family w:val="modern"/>
    <w:pitch w:val="default"/>
    <w:sig w:usb0="800002BF" w:usb1="38CF7CFA" w:usb2="00000016" w:usb3="00000000" w:csb0="00040001" w:csb1="00000000"/>
    <w:embedRegular r:id="rId7" w:fontKey="{06AF1389-EF41-4C55-9751-935E69092E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A28CA4"/>
    <w:multiLevelType w:val="singleLevel"/>
    <w:tmpl w:val="78A28CA4"/>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165211"/>
    <w:rsid w:val="13A871AA"/>
    <w:rsid w:val="13AFEC81"/>
    <w:rsid w:val="17A305D2"/>
    <w:rsid w:val="19A00859"/>
    <w:rsid w:val="19C91652"/>
    <w:rsid w:val="1B3FC108"/>
    <w:rsid w:val="1BBF5AD0"/>
    <w:rsid w:val="1BFB4A9B"/>
    <w:rsid w:val="1BFE3282"/>
    <w:rsid w:val="1D8C1793"/>
    <w:rsid w:val="1DC4251B"/>
    <w:rsid w:val="1F0F1A56"/>
    <w:rsid w:val="1F7F9C30"/>
    <w:rsid w:val="1FB39FF7"/>
    <w:rsid w:val="1FB54372"/>
    <w:rsid w:val="1FFF4E3F"/>
    <w:rsid w:val="22065300"/>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5E662D"/>
    <w:rsid w:val="377B856B"/>
    <w:rsid w:val="37FEEEDA"/>
    <w:rsid w:val="38B6005D"/>
    <w:rsid w:val="391FB7C6"/>
    <w:rsid w:val="3956852C"/>
    <w:rsid w:val="397D4866"/>
    <w:rsid w:val="3A3B0BB3"/>
    <w:rsid w:val="3A51BFC5"/>
    <w:rsid w:val="3A7647DA"/>
    <w:rsid w:val="3ACD2808"/>
    <w:rsid w:val="3AFD93B8"/>
    <w:rsid w:val="3B1F391F"/>
    <w:rsid w:val="3B404BC5"/>
    <w:rsid w:val="3B459C86"/>
    <w:rsid w:val="3B5F884B"/>
    <w:rsid w:val="3B82654F"/>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6F4770"/>
    <w:rsid w:val="477F8B44"/>
    <w:rsid w:val="49C317F9"/>
    <w:rsid w:val="4ACDDF1D"/>
    <w:rsid w:val="4BBA3990"/>
    <w:rsid w:val="4DFF1032"/>
    <w:rsid w:val="4EFDA9D6"/>
    <w:rsid w:val="4EFF30A2"/>
    <w:rsid w:val="4F10078B"/>
    <w:rsid w:val="4F155DA1"/>
    <w:rsid w:val="4F4F0D8E"/>
    <w:rsid w:val="4FF9BA94"/>
    <w:rsid w:val="4FFC2348"/>
    <w:rsid w:val="557F0F30"/>
    <w:rsid w:val="559E5CE3"/>
    <w:rsid w:val="55F955FB"/>
    <w:rsid w:val="56DD8954"/>
    <w:rsid w:val="570959A2"/>
    <w:rsid w:val="5718258C"/>
    <w:rsid w:val="57AFC3C2"/>
    <w:rsid w:val="58E24953"/>
    <w:rsid w:val="594B7B6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0A6045"/>
    <w:rsid w:val="633C8FA8"/>
    <w:rsid w:val="633F0871"/>
    <w:rsid w:val="637FE448"/>
    <w:rsid w:val="63BD36A8"/>
    <w:rsid w:val="654FD8A0"/>
    <w:rsid w:val="66055F54"/>
    <w:rsid w:val="66676B03"/>
    <w:rsid w:val="66B93803"/>
    <w:rsid w:val="67194FDD"/>
    <w:rsid w:val="6775E9D8"/>
    <w:rsid w:val="67781C0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5B2BB5"/>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D50642"/>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22A90"/>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7340</Words>
  <Characters>7661</Characters>
  <Lines>59</Lines>
  <Paragraphs>16</Paragraphs>
  <TotalTime>16</TotalTime>
  <ScaleCrop>false</ScaleCrop>
  <LinksUpToDate>false</LinksUpToDate>
  <CharactersWithSpaces>7890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2023-03-29T09:09:00Z</cp:lastPrinted>
  <dcterms:modified xsi:type="dcterms:W3CDTF">2025-07-17T01:41:10Z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91B4EAFB2AA34A4CAFD601099ECE7A63_13</vt:lpwstr>
  </property>
  <property fmtid="{D5CDD505-2E9C-101B-9397-08002B2CF9AE}" pid="4" name="KSOTemplateDocerSaveRecord">
    <vt:lpwstr>eyJoZGlkIjoiYjY1YTBkY2I2MWY4YzVkYjU4NWU5NDVlOTU1MmFkMzMiLCJ1c2VySWQiOiI1NjY5MjEwMzAifQ==</vt:lpwstr>
  </property>
</Properties>
</file>